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A8BCD7" w14:textId="77777777" w:rsidR="00D618BD" w:rsidRDefault="00000000">
      <w:pPr>
        <w:spacing w:before="100" w:after="100"/>
        <w:jc w:val="center"/>
      </w:pPr>
      <w:r>
        <w:rPr>
          <w:rFonts w:ascii="Roboto" w:hAnsi="Roboto"/>
          <w:b/>
          <w:bCs/>
          <w:color w:val="000000"/>
          <w:sz w:val="36"/>
          <w:szCs w:val="36"/>
        </w:rPr>
        <w:t>Convocatoria para la presentación de aportes: prioridades estratégicas y definición de la visión del Relator Especial sobre la promoción y protección del derecho a la libertad de opinión y de expresión</w:t>
      </w:r>
    </w:p>
    <w:p w14:paraId="6E613987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PUBLICADO POR:</w:t>
      </w:r>
      <w:r>
        <w:rPr>
          <w:rFonts w:ascii="Roboto" w:hAnsi="Roboto"/>
          <w:color w:val="000000"/>
        </w:rPr>
        <w:t xml:space="preserve"> Relator Especial sobre la libertad de opinión y de expresión</w:t>
      </w:r>
    </w:p>
    <w:p w14:paraId="22E8DD71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PLAZO LÍMITE:</w:t>
      </w:r>
      <w:r>
        <w:rPr>
          <w:rFonts w:ascii="Roboto" w:hAnsi="Roboto"/>
          <w:color w:val="000000"/>
        </w:rPr>
        <w:t xml:space="preserve"> 31 de octubre de 2026</w:t>
      </w:r>
    </w:p>
    <w:p w14:paraId="5A83F305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Propósito:</w:t>
      </w:r>
      <w:r>
        <w:rPr>
          <w:rFonts w:ascii="Roboto" w:hAnsi="Roboto"/>
          <w:color w:val="000000"/>
        </w:rPr>
        <w:t xml:space="preserve"> Presentar información, opiniones y recomendaciones que informen el informe de definición de visión 2027 y la elaboración de las prioridades estratégicas del mandato para el período 2026-2029, que se presentará ante el Consejo de Derechos Humanos en junio de 2027.</w:t>
      </w:r>
    </w:p>
    <w:p w14:paraId="130EDEC9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Antecedentes</w:t>
      </w:r>
    </w:p>
    <w:p w14:paraId="3C8581F0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La libertad de opinión y de expresión está experimentando transformaciones profundas impulsadas por cambios geopolíticos, retrocesos democráticos, conflictos armados, la desigualdad de género, el racismo y las cuestiones ambientales, así como por el cambio tecnológico acelerado y la evolución de los ecosistemas de información digital. Al mismo tiempo, una gama creciente de nuevos actores, entre ellos empresas tecnológicas, organizaciones criminales, entidades privadas y movimientos transnacionales, moldea cada vez más las condiciones en las que las personas buscan, reciben y difunden información, opiniones e ideas.</w:t>
      </w:r>
    </w:p>
    <w:p w14:paraId="68D6A183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Antes de finalizar las prioridades estratégicas que guiarán el trabajo del mandato, el Relator Especial desea invitar a los Estados Miembros, las organizaciones de la sociedad civil, periodistas, académicos, defensores de derechos humanos, expertos en tecnología y medios digitales, organizaciones internacionales y demás partes interesadas a compartir sus puntos de vista, identificar cuestiones clave y formular recomendaciones.</w:t>
      </w:r>
    </w:p>
    <w:p w14:paraId="0CFF09D1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Objetivos</w:t>
      </w:r>
    </w:p>
    <w:p w14:paraId="2F2847A1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El Relator Especial de las Naciones Unidas sobre la promoción y protección del derecho a la libertad de opinión y de expresión invita a todas las partes interesadas a presentar información, opiniones y recomendaciones que informen su informe de definición de visión 2027 y la elaboración de las prioridades estratégicas del mandato para el período 2026-2029, que se presentará ante el Consejo de Derechos Humanos en junio de 2027.</w:t>
      </w:r>
    </w:p>
    <w:p w14:paraId="3750C7E0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La presente convocatoria tiene por objeto marcar el inicio de un diálogo continuo con las partes interesadas pertinentes de todas las regiones del mundo, y garantizar que el trabajo del mandato siga respondiendo a los desafíos y oportunidades emergentes que afectan la libertad de opinión y de expresión.</w:t>
      </w:r>
    </w:p>
    <w:p w14:paraId="3110B4CB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El marco temático que se presenta a continuación se ofrece únicamente como base preliminar para la discusión y no constituye una agenda definitiva. Las siguientes áreas temáticas buscan ilustrar la dirección estratégica general que el mandato podría seguir. Se formulan deliberadamente para fomentar y facilitar el debate, la reflexión abierta y el diálogo. No deben entenderse como una lista exhaustiva o definitiva de prioridades. Sus comentarios, perspectivas y sugerencias ayudarán a dar forma, perfeccionar y, de ser necesario, replantear estas prioridades.</w:t>
      </w:r>
    </w:p>
    <w:p w14:paraId="68F4901B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Este cuestionario constituye el primer paso de un proceso de consulta más amplio con las partes interesadas. En los próximos meses, el mandato organizará una serie de consultas temáticas y regionales, tanto en línea como presenciales, en el marco de conferencias internacionales y eventos regionales, para continuar este diálogo con las partes interesadas de todo el mundo.</w:t>
      </w:r>
    </w:p>
    <w:p w14:paraId="09495D23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Preguntas clave y tipos de contribuciones/comentarios solicitados</w:t>
      </w:r>
    </w:p>
    <w:p w14:paraId="5E86CED2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El Relator Especial acoge con satisfacción los aportes sobre las siguientes cuestiones de interés. Las áreas temáticas incluidas en esta sección buscan orientar las contribuciones. Se invita a quienes contribuyan a compartir información, evidencia, ejemplos y recomendaciones pertinentes en respuesta al cuestionario a continuación, que busca informar la identificación de posibles prioridades para el mandato.</w:t>
      </w:r>
    </w:p>
    <w:p w14:paraId="74B93696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lastRenderedPageBreak/>
        <w:t>1. Violencia y amenazas contra la libertad de opinión y de expresión</w:t>
      </w:r>
    </w:p>
    <w:p w14:paraId="007012B4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Violencia contra la libertad de expresión de grupos específicos, incluidos periodistas, trabajadores de medios de comunicación, mujeres y niñas, defensores del medio ambiente y de los derechos humanos, activistas de la comunidad LGBTIQ+, líderes indígenas y comunidades que defienden los derechos humanos, así como otras personas que ejercen la libertad de expresión.</w:t>
      </w:r>
    </w:p>
    <w:p w14:paraId="668A40C1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Conflictos armados y actores no estatales (incluyendo la delincuencia organizada, grupos armados, actores militares privados y estructuras de gobernanza criminal).</w:t>
      </w:r>
    </w:p>
    <w:p w14:paraId="60E32340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Criminalización, demandas estratégicas contra la participación pública (SLAPP), hostigamiento judicial, detención arbitraria y represión transnacional.</w:t>
      </w:r>
    </w:p>
    <w:p w14:paraId="04CC2C37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Exilio y desplazamiento, y protección de periodistas y defensores en el exilio.</w:t>
      </w:r>
    </w:p>
    <w:p w14:paraId="27C8E4EB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Mecanismos de seguridad, protección y resiliencia.</w:t>
      </w:r>
    </w:p>
    <w:p w14:paraId="6102C1EB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Rendición de cuentas, prevención, recursos efectivos y reparación, y respuestas estatales.</w:t>
      </w:r>
    </w:p>
    <w:p w14:paraId="41D63734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2. Ecosistemas de información digital y derechos humanos</w:t>
      </w:r>
    </w:p>
    <w:p w14:paraId="52108FC5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Inteligencia artificial, tecnologías emergentes y derechos humanos; prospectiva y riesgos emergentes para la libertad de opinión y de expresión.</w:t>
      </w:r>
    </w:p>
    <w:p w14:paraId="60685626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Infraestructura digital, gobernanza de datos, vigilancia y gobernanza de internet.</w:t>
      </w:r>
    </w:p>
    <w:p w14:paraId="1DBDEAFD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Acceso a la información y protección frente a la desinformación y la información errónea.</w:t>
      </w:r>
    </w:p>
    <w:p w14:paraId="19ECB711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Desigualdades globales y el futuro de los derechos digitales.</w:t>
      </w:r>
    </w:p>
    <w:p w14:paraId="2937C1C5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Gobernanza de plataformas, responsabilidades corporativas, rendición de cuentas de los actores privados; moderación de contenidos y debida diligencia en derechos humanos.</w:t>
      </w:r>
    </w:p>
    <w:p w14:paraId="5B117E0D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3. Género, juventud e interseccionalidad</w:t>
      </w:r>
    </w:p>
    <w:p w14:paraId="491DB09C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Mujeres y niñas, violencia de género y acoso, incluida la violencia de género en línea.</w:t>
      </w:r>
    </w:p>
    <w:p w14:paraId="130D1C21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Participación juvenil, compromiso cívico y ciudadanía digital.</w:t>
      </w:r>
    </w:p>
    <w:p w14:paraId="78FCCE17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Comunidades históricamente marginadas y personas con mayor riesgo de sufrir violaciones de derechos humanos, incluidos los Pueblos Indígenas, las minorías raciales, étnicas, religiosas y lingüísticas, las comunidades LGBTIQ+, la niñez, las personas con discapacidad, los migrantes y las personas desplazadas.</w:t>
      </w:r>
    </w:p>
    <w:p w14:paraId="157B39BA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Participación inclusiva, representación e igualdad en el debate público.</w:t>
      </w:r>
    </w:p>
    <w:p w14:paraId="3362414E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Discurso de odio, discriminación y exclusión del discurso público.</w:t>
      </w:r>
    </w:p>
    <w:p w14:paraId="5B7011AB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Barreras interseccionales al ejercicio de la libertad de opinión y de expresión.</w:t>
      </w:r>
    </w:p>
    <w:p w14:paraId="7562C022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4. Retroceso democrático, espacio cívico y derechos humanos</w:t>
      </w:r>
    </w:p>
    <w:p w14:paraId="6871D195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Acceso a la información, transparencia y rendición de cuentas.</w:t>
      </w:r>
    </w:p>
    <w:p w14:paraId="71823D48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Participación, no discriminación e igualdad como fundamentos de la libertad de opinión y de expresión y del proceso de gobernanza.</w:t>
      </w:r>
    </w:p>
    <w:p w14:paraId="2C75F289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Libertad de expresión y Estado de derecho.</w:t>
      </w:r>
    </w:p>
    <w:p w14:paraId="43E64384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Derecho de acceso a la información sobre cuestiones ambientales.</w:t>
      </w:r>
    </w:p>
    <w:p w14:paraId="73B8FF4F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Cooperación internacional y el sistema de derechos humanos de las Naciones Unidas.</w:t>
      </w:r>
    </w:p>
    <w:p w14:paraId="1B276A2B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Libertad de expresión, los Objetivos de Desarrollo Sostenible (ODS) y el futuro del multilateralismo.</w:t>
      </w:r>
    </w:p>
    <w:p w14:paraId="5220BFD3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El papel de la libertad de expresión en el fortalecimiento de la gobernanza democrática y la implementación de los estándares internacionales de derechos humanos.</w:t>
      </w:r>
    </w:p>
    <w:p w14:paraId="4D6BD113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Cuestionario</w:t>
      </w:r>
    </w:p>
    <w:p w14:paraId="3C40B46C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1. Prioridades estratégicas</w:t>
      </w:r>
    </w:p>
    <w:p w14:paraId="19566A01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lastRenderedPageBreak/>
        <w:t>El marco temático presentado anteriormente se ofrece como base preliminar para la discusión.</w:t>
      </w:r>
    </w:p>
    <w:p w14:paraId="232D68E1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Al observar este marco estratégico preliminar, ¿considera que refleja adecuadamente los desafíos y oportunidades más significativos que afectan hoy a la libertad de opinión y de expresión, y que la afectarán en los próximos tres años?</w:t>
      </w:r>
    </w:p>
    <w:p w14:paraId="201D4247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En particular:</w:t>
      </w:r>
    </w:p>
    <w:p w14:paraId="1D845CA9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¿Existen cuestiones, tendencias o novedades importantes que no estén suficientemente reflejadas?</w:t>
      </w:r>
    </w:p>
    <w:p w14:paraId="79E38214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¿Existen áreas temáticas que deberían recibir mayor énfasis o que, por el contrario, ya han recibido suficiente atención?</w:t>
      </w:r>
    </w:p>
    <w:p w14:paraId="28022C6F" w14:textId="77777777" w:rsidR="00D618BD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¿Existen otras cuestiones transversales que deberían integrarse en todas las áreas temáticas?</w:t>
      </w:r>
    </w:p>
    <w:p w14:paraId="766F58D7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2. Perspectivas regionales</w:t>
      </w:r>
    </w:p>
    <w:p w14:paraId="28B02AFD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¿Cuáles son los tres desafíos más urgentes para la libertad de opinión y de expresión en su país, región o ámbito de trabajo, que considera que deberían recibir mayor atención por parte del mandato?</w:t>
      </w:r>
    </w:p>
    <w:p w14:paraId="096E018F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¿Existen grupos específicos, incluidas las mujeres, los jóvenes, las minorías raciales, étnicas, religiosas o lingüísticas, las comunidades LGBTIQ+, los Pueblos Indígenas, los migrantes, las personas con discapacidad, los defensores del medio ambiente u otras comunidades marginadas, que enfrenten barreras desproporcionadas para ejercer su derecho a la libertad de opinión y de expresión?</w:t>
      </w:r>
    </w:p>
    <w:p w14:paraId="5C3E6FAA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Sírvase indicar su región de trabajo: África / Estados de Asia y el Pacífico / Estados de Europa Oriental / Estados de América Latina y el Caribe (GRULAC) / Estados de Europa Occidental y otros Estados (WEOG) / Global / Prefiere no decirlo / Otra (especifique).</w:t>
      </w:r>
    </w:p>
    <w:p w14:paraId="624EA6BF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3. Maximizar el impacto</w:t>
      </w:r>
    </w:p>
    <w:p w14:paraId="7E5FCCFE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De cara a los próximos tres años, ¿qué acciones, ámbitos de trabajo o tipos de intervención permitirían que el mandato tenga el mayor impacto posible en la promoción y protección de la libertad de opinión y de expresión?</w:t>
      </w:r>
    </w:p>
    <w:p w14:paraId="3C4823C9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En su opinión, ¿qué tendencias emergentes, tecnologías, novedades en materia de gobernanza o cambios probablemente tendrán un impacto significativo en la libertad de opinión y de expresión en los próximos años, desde la perspectiva del sistema internacional de derechos humanos?</w:t>
      </w:r>
    </w:p>
    <w:p w14:paraId="3691A512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4. Inclusión y participación</w:t>
      </w:r>
    </w:p>
    <w:p w14:paraId="0C766F38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¿Cómo puede el mandato garantizar que las mujeres, la niñez y la juventud, y las comunidades históricamente marginadas y subrepresentadas, no solo se vean reflejadas en su trabajo, sino que participen de manera significativa en la definición de sus prioridades, análisis y recomendaciones?</w:t>
      </w:r>
    </w:p>
    <w:p w14:paraId="36957C5B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Cómo se utilizarán las contribuciones</w:t>
      </w:r>
    </w:p>
    <w:p w14:paraId="1FD06DB3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Agradecemos sus esfuerzos por remitir sus valiosos aportes para este informe, así como su colaboración y apoyo a la implementación de este mandato. Si cuenta con información previamente remitida a otros procedimientos especiales o mecanismos de derechos humanos que pueda ser pertinente, sírvase hacer referencia a ella a fin de evitar duplicaciones y facilitar la coordinación.</w:t>
      </w:r>
    </w:p>
    <w:p w14:paraId="1A0D402D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 menos que se solicite expresamente lo contrario, y siempre que se ajusten a las normas y estándares de las Naciones Unidas, las contribuciones podrán publicarse en la página del mandato en el sitio web de la OACNUDH y podrán mencionarse en los informes. En consideración de las cuestiones de consentimiento y privacidad, las contribuciones que contengan nombres de presuntas víctimas serán consideradas, pero no se publicarán en línea. Sírvase indicar en su correo el nombre con el que desea ser reconocido/a como contribuyente.</w:t>
      </w:r>
    </w:p>
    <w:p w14:paraId="0963B127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Para obtener información adicional sobre el mandato del Relator Especial sobre la libertad de opinión y de expresión: https://www.ohchr.org/en/special-procedures/sr-freedom-of-opinion-and-expression.</w:t>
      </w:r>
    </w:p>
    <w:p w14:paraId="508FDE7D" w14:textId="78246CCF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 xml:space="preserve">Para contactar al mandato del Relator Especial: </w:t>
      </w:r>
      <w:hyperlink r:id="rId5" w:history="1">
        <w:r w:rsidR="00443EE8">
          <w:rPr>
            <w:rStyle w:val="Hipervnculo"/>
            <w:rFonts w:ascii="Roboto" w:hAnsi="Roboto"/>
          </w:rPr>
          <w:t>hrc-sr-freedex@un.org</w:t>
        </w:r>
      </w:hyperlink>
    </w:p>
    <w:p w14:paraId="3A573987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Próximas etapas</w:t>
      </w:r>
    </w:p>
    <w:p w14:paraId="3F46BAE6" w14:textId="77777777" w:rsidR="00D618BD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lastRenderedPageBreak/>
        <w:t>Las contribuciones/comentarios pueden enviarse por correo electrónico. Deben recibirse antes del 31 de octubre de 2026.</w:t>
      </w:r>
    </w:p>
    <w:p w14:paraId="177CCEA4" w14:textId="39D255B8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Dirección de correo electrónico:</w:t>
      </w:r>
      <w:r>
        <w:rPr>
          <w:rFonts w:ascii="Roboto" w:hAnsi="Roboto"/>
          <w:color w:val="000000"/>
        </w:rPr>
        <w:t xml:space="preserve"> </w:t>
      </w:r>
      <w:hyperlink r:id="rId6" w:history="1">
        <w:r w:rsidR="00B43BA9">
          <w:rPr>
            <w:rStyle w:val="Hipervnculo"/>
            <w:rFonts w:ascii="Roboto" w:hAnsi="Roboto"/>
          </w:rPr>
          <w:t>hrc-sr-freedex@un.org</w:t>
        </w:r>
      </w:hyperlink>
    </w:p>
    <w:p w14:paraId="2A102F30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Asunto del correo electrónico:</w:t>
      </w:r>
      <w:r>
        <w:rPr>
          <w:rFonts w:ascii="Roboto" w:hAnsi="Roboto"/>
          <w:color w:val="000000"/>
        </w:rPr>
        <w:t xml:space="preserve"> Aportación al informe de definición de visión</w:t>
      </w:r>
    </w:p>
    <w:p w14:paraId="49EF1476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Límite de palabras o páginas:</w:t>
      </w:r>
      <w:r>
        <w:rPr>
          <w:rFonts w:ascii="Roboto" w:hAnsi="Roboto"/>
          <w:color w:val="000000"/>
        </w:rPr>
        <w:t xml:space="preserve"> 2500 palabras</w:t>
      </w:r>
    </w:p>
    <w:p w14:paraId="73F0CC67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Formatos de archivo aceptados:</w:t>
      </w:r>
      <w:r>
        <w:rPr>
          <w:rFonts w:ascii="Roboto" w:hAnsi="Roboto"/>
          <w:color w:val="000000"/>
        </w:rPr>
        <w:t xml:space="preserve"> Word</w:t>
      </w:r>
    </w:p>
    <w:p w14:paraId="77DE8DF1" w14:textId="77777777" w:rsidR="00D618BD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Idiomas aceptados:</w:t>
      </w:r>
      <w:r>
        <w:rPr>
          <w:rFonts w:ascii="Roboto" w:hAnsi="Roboto"/>
          <w:color w:val="000000"/>
        </w:rPr>
        <w:t xml:space="preserve"> inglés, francés, español</w:t>
      </w:r>
    </w:p>
    <w:p w14:paraId="2FF8406D" w14:textId="25856661" w:rsidR="00D618BD" w:rsidRDefault="00D618BD">
      <w:pPr>
        <w:spacing w:before="100" w:after="100"/>
        <w:jc w:val="both"/>
      </w:pPr>
    </w:p>
    <w:sectPr w:rsidR="00D618B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035E43"/>
    <w:multiLevelType w:val="hybridMultilevel"/>
    <w:tmpl w:val="DEF4CF38"/>
    <w:lvl w:ilvl="0" w:tplc="42A64E36">
      <w:start w:val="1"/>
      <w:numFmt w:val="bullet"/>
      <w:lvlText w:val="●"/>
      <w:lvlJc w:val="left"/>
      <w:pPr>
        <w:ind w:left="720" w:hanging="360"/>
      </w:pPr>
    </w:lvl>
    <w:lvl w:ilvl="1" w:tplc="BDDC1476">
      <w:start w:val="1"/>
      <w:numFmt w:val="bullet"/>
      <w:lvlText w:val="○"/>
      <w:lvlJc w:val="left"/>
      <w:pPr>
        <w:ind w:left="1440" w:hanging="360"/>
      </w:pPr>
    </w:lvl>
    <w:lvl w:ilvl="2" w:tplc="4004487E">
      <w:start w:val="1"/>
      <w:numFmt w:val="bullet"/>
      <w:lvlText w:val="■"/>
      <w:lvlJc w:val="left"/>
      <w:pPr>
        <w:ind w:left="2160" w:hanging="360"/>
      </w:pPr>
    </w:lvl>
    <w:lvl w:ilvl="3" w:tplc="716A77A8">
      <w:start w:val="1"/>
      <w:numFmt w:val="bullet"/>
      <w:lvlText w:val="●"/>
      <w:lvlJc w:val="left"/>
      <w:pPr>
        <w:ind w:left="2880" w:hanging="360"/>
      </w:pPr>
    </w:lvl>
    <w:lvl w:ilvl="4" w:tplc="E95E8270">
      <w:start w:val="1"/>
      <w:numFmt w:val="bullet"/>
      <w:lvlText w:val="○"/>
      <w:lvlJc w:val="left"/>
      <w:pPr>
        <w:ind w:left="3600" w:hanging="360"/>
      </w:pPr>
    </w:lvl>
    <w:lvl w:ilvl="5" w:tplc="600E78A4">
      <w:start w:val="1"/>
      <w:numFmt w:val="bullet"/>
      <w:lvlText w:val="■"/>
      <w:lvlJc w:val="left"/>
      <w:pPr>
        <w:ind w:left="4320" w:hanging="360"/>
      </w:pPr>
    </w:lvl>
    <w:lvl w:ilvl="6" w:tplc="C9DA4CD2">
      <w:start w:val="1"/>
      <w:numFmt w:val="bullet"/>
      <w:lvlText w:val="●"/>
      <w:lvlJc w:val="left"/>
      <w:pPr>
        <w:ind w:left="5040" w:hanging="360"/>
      </w:pPr>
    </w:lvl>
    <w:lvl w:ilvl="7" w:tplc="8E46BA9E">
      <w:start w:val="1"/>
      <w:numFmt w:val="bullet"/>
      <w:lvlText w:val="●"/>
      <w:lvlJc w:val="left"/>
      <w:pPr>
        <w:ind w:left="5760" w:hanging="360"/>
      </w:pPr>
    </w:lvl>
    <w:lvl w:ilvl="8" w:tplc="F3BC12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6E703C"/>
    <w:multiLevelType w:val="hybridMultilevel"/>
    <w:tmpl w:val="ED40428A"/>
    <w:lvl w:ilvl="0" w:tplc="F918B7FA">
      <w:start w:val="1"/>
      <w:numFmt w:val="bullet"/>
      <w:lvlText w:val="•"/>
      <w:lvlJc w:val="left"/>
      <w:pPr>
        <w:ind w:left="720" w:hanging="360"/>
      </w:pPr>
    </w:lvl>
    <w:lvl w:ilvl="1" w:tplc="639A6B00">
      <w:numFmt w:val="decimal"/>
      <w:lvlText w:val=""/>
      <w:lvlJc w:val="left"/>
    </w:lvl>
    <w:lvl w:ilvl="2" w:tplc="7820DFF2">
      <w:numFmt w:val="decimal"/>
      <w:lvlText w:val=""/>
      <w:lvlJc w:val="left"/>
    </w:lvl>
    <w:lvl w:ilvl="3" w:tplc="E02C7BAC">
      <w:numFmt w:val="decimal"/>
      <w:lvlText w:val=""/>
      <w:lvlJc w:val="left"/>
    </w:lvl>
    <w:lvl w:ilvl="4" w:tplc="D4A433B8">
      <w:numFmt w:val="decimal"/>
      <w:lvlText w:val=""/>
      <w:lvlJc w:val="left"/>
    </w:lvl>
    <w:lvl w:ilvl="5" w:tplc="60365F5C">
      <w:numFmt w:val="decimal"/>
      <w:lvlText w:val=""/>
      <w:lvlJc w:val="left"/>
    </w:lvl>
    <w:lvl w:ilvl="6" w:tplc="BA0E1BD4">
      <w:numFmt w:val="decimal"/>
      <w:lvlText w:val=""/>
      <w:lvlJc w:val="left"/>
    </w:lvl>
    <w:lvl w:ilvl="7" w:tplc="EA405150">
      <w:numFmt w:val="decimal"/>
      <w:lvlText w:val=""/>
      <w:lvlJc w:val="left"/>
    </w:lvl>
    <w:lvl w:ilvl="8" w:tplc="E6C806F4">
      <w:numFmt w:val="decimal"/>
      <w:lvlText w:val=""/>
      <w:lvlJc w:val="left"/>
    </w:lvl>
  </w:abstractNum>
  <w:num w:numId="1" w16cid:durableId="413284763">
    <w:abstractNumId w:val="0"/>
    <w:lvlOverride w:ilvl="0">
      <w:startOverride w:val="1"/>
    </w:lvlOverride>
  </w:num>
  <w:num w:numId="2" w16cid:durableId="167985000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8BD"/>
    <w:rsid w:val="00443EE8"/>
    <w:rsid w:val="005F2A43"/>
    <w:rsid w:val="00B43BA9"/>
    <w:rsid w:val="00D6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5D2FBB"/>
  <w15:docId w15:val="{B77195F0-A6E7-604E-8569-D652ADD4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c-sr-freedex@un.org" TargetMode="External"/><Relationship Id="rId5" Type="http://schemas.openxmlformats.org/officeDocument/2006/relationships/hyperlink" Target="mailto:hrc-sr-freedex@u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1737</Words>
  <Characters>9211</Characters>
  <Application>Microsoft Office Word</Application>
  <DocSecurity>0</DocSecurity>
  <Lines>112</Lines>
  <Paragraphs>39</Paragraphs>
  <ScaleCrop>false</ScaleCrop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Camila Herrera Sosa</cp:lastModifiedBy>
  <cp:revision>3</cp:revision>
  <dcterms:created xsi:type="dcterms:W3CDTF">2026-09-16T19:00:00Z</dcterms:created>
  <dcterms:modified xsi:type="dcterms:W3CDTF">2026-09-16T20:32:00Z</dcterms:modified>
</cp:coreProperties>
</file>