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63BF96" w14:textId="77777777" w:rsidR="00180CDF" w:rsidRDefault="00000000">
      <w:pPr>
        <w:spacing w:before="100" w:after="100"/>
        <w:jc w:val="center"/>
      </w:pPr>
      <w:r>
        <w:rPr>
          <w:rFonts w:ascii="Roboto" w:hAnsi="Roboto"/>
          <w:b/>
          <w:bCs/>
          <w:color w:val="000000"/>
          <w:sz w:val="36"/>
          <w:szCs w:val="36"/>
        </w:rPr>
        <w:t>Convocatoria para la presentación de aportes: la situación de derechos humanos de las personas lesbianas, gais, bisexuales, trans y de género diverso (LGBT) privadas de libertad</w:t>
      </w:r>
    </w:p>
    <w:p w14:paraId="74B9AAD1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PUBLICADO POR:</w:t>
      </w:r>
      <w:r>
        <w:rPr>
          <w:rFonts w:ascii="Roboto" w:hAnsi="Roboto"/>
          <w:color w:val="000000"/>
        </w:rPr>
        <w:t xml:space="preserve"> Experto Independiente sobre la protección contra la violencia y la discriminación por motivos de orientación sexual e identidad de género</w:t>
      </w:r>
    </w:p>
    <w:p w14:paraId="11DAFF27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PLAZO LÍMITE:</w:t>
      </w:r>
      <w:r>
        <w:rPr>
          <w:rFonts w:ascii="Roboto" w:hAnsi="Roboto"/>
          <w:color w:val="000000"/>
        </w:rPr>
        <w:t xml:space="preserve"> 30 de noviembre de 2026</w:t>
      </w:r>
    </w:p>
    <w:p w14:paraId="197B2BF3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Propósito:</w:t>
      </w:r>
      <w:r>
        <w:rPr>
          <w:rFonts w:ascii="Roboto" w:hAnsi="Roboto"/>
          <w:color w:val="000000"/>
        </w:rPr>
        <w:t xml:space="preserve"> Informar el informe del Experto Independiente sobre la protección contra la violencia y la discriminación por motivos de orientación sexual e identidad de género, que se presentará ante el 65º período de sesiones del Consejo de Derechos Humanos.</w:t>
      </w:r>
    </w:p>
    <w:p w14:paraId="2551C645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Antecedentes</w:t>
      </w:r>
    </w:p>
    <w:p w14:paraId="4D30195C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El derecho internacional de los derechos humanos exige que todas las personas privadas de libertad sean tratadas con humanidad y con respeto a su dignidad inherente, sin discriminación. El Pacto Internacional de Derechos Civiles y Políticos prohíbe la tortura y los tratos o penas crueles, inhumanos o degradantes. La Convención contra la Tortura exige además a los Estados prevenir la tortura y otros malos tratos en todos los lugares donde haya personas privadas de libertad. Estas obligaciones comprenden la protección frente a la violencia, el abuso sexual y los tratos humillantes o degradantes por motivos de orientación sexual o identidad de género.</w:t>
      </w:r>
    </w:p>
    <w:p w14:paraId="4949C586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Entre las normas complementarias aplicables se encuentran las Reglas Nelson Mandela, las Reglas de las Naciones Unidas para el Tratamiento de las Reclusas y Medidas No Privativas de la Libertad para las Mujeres Delincuentes (Reglas de Bangkok), y los estándares aplicables a la detención migratoria, las instituciones psiquiátricas, los centros de atención social y otros entornos de custodia. Los Principios de Yogyakarta y sus actualizaciones posteriores precisan la aplicación del derecho internacional de los derechos humanos vigente en relación con la orientación sexual y la identidad de género, incluidos los derechos a la dignidad, la no discriminación, la salud y la protección frente a la detención arbitraria.</w:t>
      </w:r>
    </w:p>
    <w:p w14:paraId="2E2B7D1F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El informe examinará si la orientación sexual y la identidad de género determinan, y de qué manera, las experiencias de las personas privadas de libertad en las instituciones de justicia penal y en otros entornos de custodia públicos o privados. Se analizarán las distintas etapas de la privación de libertad, las prácticas institucionales y los procesos de toma de decisiones pertinentes, el acceso a los servicios, y la disponibilidad y eficacia de las salvaguardias, los procedimientos de denuncia y la supervisión independiente.</w:t>
      </w:r>
    </w:p>
    <w:p w14:paraId="556BE720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Los datos disponibles siguen siendo limitados, fragmentados y desiguales entre regiones. Los esfuerzos por documentar las experiencias de las personas LGBT privadas de libertad deben respetar la confidencialidad y la autoidentificación, y observar el principio de "no causar daño". El informe analizará estas cuestiones a la luz de las obligaciones negativas y positivas de los Estados, incluida la prohibición absoluta de la tortura y otros malos tratos, y los principios de dignidad, igualdad y no discriminación.</w:t>
      </w:r>
    </w:p>
    <w:p w14:paraId="278EA0CD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Objetivos</w:t>
      </w:r>
    </w:p>
    <w:p w14:paraId="25BB9AB6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Esta convocatoria busca información, datos y análisis relativos a:</w:t>
      </w:r>
    </w:p>
    <w:p w14:paraId="292B0179" w14:textId="77777777" w:rsidR="00180CDF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las leyes, políticas y prácticas institucionales que rigen el trato de las personas LGBT privadas de libertad;</w:t>
      </w:r>
    </w:p>
    <w:p w14:paraId="71E45220" w14:textId="77777777" w:rsidR="00180CDF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los patrones y las causas de la violencia, la discriminación, los malos tratos, el abandono y la denegación de autonomía o de servicios esenciales;</w:t>
      </w:r>
    </w:p>
    <w:p w14:paraId="5F2F874A" w14:textId="77777777" w:rsidR="00180CDF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los riesgos que surgen en las distintas etapas y entornos de custodia;</w:t>
      </w:r>
    </w:p>
    <w:p w14:paraId="3D6610DA" w14:textId="77777777" w:rsidR="00180CDF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la eficacia de las salvaguardias, los mecanismos de denuncia, supervisión, vigilancia y rendición de cuentas;</w:t>
      </w:r>
    </w:p>
    <w:p w14:paraId="0FA1556A" w14:textId="77777777" w:rsidR="00180CDF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lastRenderedPageBreak/>
        <w:t>las carencias de datos y de conocimiento, incluidas las salvaguardias aplicables a la recopilación y el uso de datos; y</w:t>
      </w:r>
    </w:p>
    <w:p w14:paraId="3B566B4C" w14:textId="77777777" w:rsidR="00180CDF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las medidas eficaces para prevenir las violaciones y garantizar la dignidad, la igualdad y la protección.</w:t>
      </w:r>
    </w:p>
    <w:p w14:paraId="7D5F0764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Alcance</w:t>
      </w:r>
    </w:p>
    <w:p w14:paraId="41AB7DCA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A los efectos de este informe, la privación de libertad se entiende de forma coherente con el artículo 4 del Protocolo Facultativo de la Convención contra la Tortura (OPCAT). Incluye, entre otros:</w:t>
      </w:r>
    </w:p>
    <w:p w14:paraId="6B058EF7" w14:textId="77777777" w:rsidR="00180CDF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las prisiones y la detención preventiva;</w:t>
      </w:r>
    </w:p>
    <w:p w14:paraId="4F4A78BD" w14:textId="77777777" w:rsidR="00180CDF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la custodia policial;</w:t>
      </w:r>
    </w:p>
    <w:p w14:paraId="7706D0C9" w14:textId="77777777" w:rsidR="00180CDF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la detención de personas migrantes y solicitantes de asilo;</w:t>
      </w:r>
    </w:p>
    <w:p w14:paraId="5B849EF6" w14:textId="77777777" w:rsidR="00180CDF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las instituciones psiquiátricas y de salud mental;</w:t>
      </w:r>
    </w:p>
    <w:p w14:paraId="09D32B72" w14:textId="77777777" w:rsidR="00180CDF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las instituciones residenciales de atención social; y</w:t>
      </w:r>
    </w:p>
    <w:p w14:paraId="0536735C" w14:textId="77777777" w:rsidR="00180CDF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cualquier otro entorno de custodia público o privado en el que las personas no sean libres de marcharse por decisión propia por orden de una autoridad judicial, administrativa o de otra índole.</w:t>
      </w:r>
    </w:p>
    <w:p w14:paraId="14F433B7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Preguntas clave y tipos de contribuciones/comentarios solicitados</w:t>
      </w:r>
    </w:p>
    <w:p w14:paraId="7770BC28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Las siguientes preguntas se ofrecen a título orientativo. Quienes respondan no están obligados a contestar todas las preguntas y pueden abordar otras cuestiones pertinentes para el informe.</w:t>
      </w:r>
    </w:p>
    <w:p w14:paraId="3AEF5214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Marcos jurídicos y normativos</w:t>
      </w:r>
    </w:p>
    <w:p w14:paraId="0A2C9360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¿Qué leyes, políticas, reglamentos o directrices rigen el trato y los ajustes razonables a las personas LGBT privadas de libertad? ¿Prohíben la discriminación por motivos de orientación sexual e identidad de género, y cómo se aplican en la práctica?</w:t>
      </w:r>
    </w:p>
    <w:p w14:paraId="6B1E6FA3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¿Qué leyes penalizan o restringen de otro modo la conducta, la expresión, la reunión pacífica o la asociación relacionadas con la orientación sexual o la identidad de género, incluidas las leyes sobre conductas consensuadas entre personas del mismo sexo, la expresión de género y la llamada "propaganda" o "promoción"? ¿Cómo determinan estas u otras leyes que afectan de manera desproporcionada a las personas LGBT su exposición a la detención y su trato en entornos de custodia?</w:t>
      </w:r>
    </w:p>
    <w:p w14:paraId="09ADAF0A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Violencia, discriminación y condiciones</w:t>
      </w:r>
    </w:p>
    <w:p w14:paraId="6720B89F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¿Cuáles son las experiencias de las personas LGBT en lugares de privación de libertad, incluso en relación con su trato, seguridad, condiciones de detención y medidas disciplinarias o de protección? Sírvase identificar cualquier forma o patrón de violencia, discriminación o malos tratos, indicando, en la medida de lo posible, las personas o instituciones responsables y las circunstancias en que ocurren.</w:t>
      </w:r>
    </w:p>
    <w:p w14:paraId="6D57891F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¿Cómo se adoptan las decisiones de ubicación y clasificación, incluso respecto de las personas trans y de género diverso? ¿Qué salvaguardias operan durante el arresto, el traslado, el ingreso, la evaluación inicial y la clasificación para prevenir la violencia, los malos tratos, la ubicación discriminatoria y la revelación involuntaria de la orientación sexual o la identidad de género?</w:t>
      </w:r>
    </w:p>
    <w:p w14:paraId="5234508A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¿Tienen las personas LGBT igual acceso a la atención de salud (incluida la salud mental, la continuidad del tratamiento, los servicios relacionados con el VIH, la salud sexual y reproductiva y, cuando corresponda, la atención de afirmación de género), así como a la asistencia jurídica, la educación, las oportunidades de formación laboral, el trabajo, las visitas y la comunicación con la familia, la pareja y la familia elegida?</w:t>
      </w:r>
    </w:p>
    <w:p w14:paraId="3C0295B9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¿Qué salvaguardias protegen la privacidad, la dignidad y la autoidentificación en los registros corporales, la información personal y otras prácticas institucionales? ¿Pueden las personas LGBT ejercer sus derechos sin discriminación por motivos de orientación sexual, identidad de género o expresión de género?</w:t>
      </w:r>
    </w:p>
    <w:p w14:paraId="4A36C102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Práctica institucional, participación y rendición de cuentas</w:t>
      </w:r>
    </w:p>
    <w:p w14:paraId="31974BA9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¿Qué formación relacionada con las personas LGBT se imparte a los funcionarios encargados de hacer cumplir la ley, al personal de custodia e institucional, a los profesionales de la salud y a otro personal, y qué evidencia existe sobre su eficacia?</w:t>
      </w:r>
    </w:p>
    <w:p w14:paraId="143E5562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lastRenderedPageBreak/>
        <w:t>¿Qué mecanismos independientes de supervisión y vigilancia preventiva (incluidos los mecanismos nacionales de prevención y las instituciones nacionales de derechos humanos) abordan la situación de las personas LGBT privadas de libertad? ¿Son los mecanismos de denuncia accesibles, eficaces, confidenciales y seguros, y qué medidas previenen y abordan las represalias?</w:t>
      </w:r>
    </w:p>
    <w:p w14:paraId="365E52EA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¿Se consulta de manera significativa a las personas LGBT, incluidas las personas trans y de género diverso, en las decisiones que afectan su ubicación, protección, atención de salud y las políticas institucionales?</w:t>
      </w:r>
    </w:p>
    <w:p w14:paraId="5B9FAB54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Formas superpuestas de discriminación</w:t>
      </w:r>
    </w:p>
    <w:p w14:paraId="177CAAEE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¿Cómo determinan el género, la raza, la etnia, la discapacidad, la edad, la condición migratoria, la situación socioeconómica y otras características las experiencias de las personas LGBT privadas de libertad? ¿Qué grupos enfrentan riesgos distintos o más elevados, y en qué entornos o circunstancias?</w:t>
      </w:r>
    </w:p>
    <w:p w14:paraId="24B63824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Datos, evidencia y buenas prácticas</w:t>
      </w:r>
    </w:p>
    <w:p w14:paraId="7D948215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¿Qué datos existen sobre las personas LGBT privadas de libertad, y cuáles son las principales carencias? ¿Cómo se recopilan, almacenan, utilizan, desagregan y protegen los datos, incluso en lo relativo a la confidencialidad, el consentimiento informado cuando corresponda, el respeto a la autoidentificación y el principio de "no causar daño"?</w:t>
      </w:r>
    </w:p>
    <w:p w14:paraId="454F6AFF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Sírvase proporcionar ejemplos de leyes, políticas, prácticas institucionales, supervisión preventiva, vigilancia o reformas que hayan reducido la violencia o la discriminación, o que de otro modo hayan promovido la dignidad, la igualdad, la rendición de cuentas y la protección. ¿Qué medidas han demostrado ser eficaces?</w:t>
      </w:r>
    </w:p>
    <w:p w14:paraId="12C88CC9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Cómo se utilizarán las contribuciones</w:t>
      </w:r>
    </w:p>
    <w:p w14:paraId="32CDADD2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A menos que se solicite expresamente lo contrario, y siempre que se ajusten a las normas y estándares de las Naciones Unidas, las contribuciones se publicarán en la página del mandato en el sitio web de la OACNUDH y podrán mencionarse en los informes. En consideración de las cuestiones de consentimiento y privacidad, las contribuciones que contengan nombres de presuntas víctimas serán consideradas, pero no se publicarán en línea.</w:t>
      </w:r>
    </w:p>
    <w:p w14:paraId="179230FA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Próximas etapas</w:t>
      </w:r>
    </w:p>
    <w:p w14:paraId="5E6D9892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Las contribuciones/comentarios pueden enviarse por correo electrónico. Deben recibirse antes del 30 de noviembre de 2026, a las 18:00 (hora de Ginebra).</w:t>
      </w:r>
    </w:p>
    <w:p w14:paraId="2D830A42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El Experto Independiente invita a presentar contribuciones a los Estados, las instituciones nacionales de derechos humanos, los mecanismos nacionales de prevención, las entidades de las Naciones Unidas, las organizaciones internacionales y regionales, las organizaciones de la sociedad civil, el mundo académico, las personas con experiencia directa de privación de libertad y otras partes interesadas.</w:t>
      </w:r>
    </w:p>
    <w:p w14:paraId="172D4B10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Las contribuciones pueden abordar todas o solo algunas de las preguntas anteriores. Pueden anexarse o vincularse a la presentación materiales de apoyo adicionales, como informes, estudios académicos y otro tipo de documentación de referencia.</w:t>
      </w:r>
    </w:p>
    <w:p w14:paraId="3FA56A6C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Quienes respondan pueden presentar o remitirse a análisis legislativos y de políticas ya existentes, investigaciones empíricas y datos, jurisprudencia, documentación de patrones o casos individuales, y políticas, prácticas y lecciones aprendidas institucionales. No se espera que preparen nueva documentación específicamente para esta convocatoria.</w:t>
      </w:r>
    </w:p>
    <w:p w14:paraId="47F08142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Agradecemos sus esfuerzos por remitir sus valiosos aportes para este informe, así como su colaboración y apoyo a la implementación de este mandato. Si cuenta con información previamente remitida a otros procedimientos especiales o mecanismos de derechos humanos que pueda ser pertinente, sírvase hacer referencia a ella a fin de evitar duplicaciones y facilitar la coordinación.</w:t>
      </w:r>
    </w:p>
    <w:p w14:paraId="709B9A83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Las contribuciones deberían, preferiblemente: identificar las preguntas abordadas; distinguir las leyes y políticas oficiales aplicables de su implementación en la práctica; proporcionar referencias precisas al material de apoyo; explicar la metodología y las limitaciones de los datos presentados; distinguir los casos individuales de la evidencia de patrones más amplios; e indicar si la contribución, o alguna parte de ella, debe permanecer confidencial.</w:t>
      </w:r>
    </w:p>
    <w:p w14:paraId="1C83961E" w14:textId="77777777" w:rsidR="00180CDF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lastRenderedPageBreak/>
        <w:t>Se anima a quienes respondan a proporcionar datos cuantitativos y cualitativos disponibles. La información relativa a personas debe recopilarse y presentarse conforme a las salvaguardias apropiadas, incluida la participación voluntaria y el consentimiento informado cuando corresponda, la confidencialidad, la seguridad de los datos y el principio de "no causar daño". Las contribuciones no deben exponer a las personas a riesgos.</w:t>
      </w:r>
    </w:p>
    <w:p w14:paraId="7F22C068" w14:textId="19A3E9D2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Dirección de correo electrónico:</w:t>
      </w:r>
      <w:r>
        <w:rPr>
          <w:rFonts w:ascii="Roboto" w:hAnsi="Roboto"/>
          <w:color w:val="000000"/>
        </w:rPr>
        <w:t xml:space="preserve"> </w:t>
      </w:r>
      <w:hyperlink r:id="rId5" w:history="1">
        <w:r w:rsidR="00A50BC0">
          <w:rPr>
            <w:rStyle w:val="Hipervnculo"/>
            <w:rFonts w:ascii="Roboto" w:hAnsi="Roboto"/>
          </w:rPr>
          <w:t>hrc-ie-sogi@un.org</w:t>
        </w:r>
      </w:hyperlink>
    </w:p>
    <w:p w14:paraId="733C48DE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Asunto del correo electrónico:</w:t>
      </w:r>
      <w:r>
        <w:rPr>
          <w:rFonts w:ascii="Roboto" w:hAnsi="Roboto"/>
          <w:color w:val="000000"/>
        </w:rPr>
        <w:t xml:space="preserve"> Aportación al informe del EI SOGI (HRC65) sobre personas LGBT privadas de libertad</w:t>
      </w:r>
    </w:p>
    <w:p w14:paraId="6AC46CD9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Límite de palabras o páginas:</w:t>
      </w:r>
      <w:r>
        <w:rPr>
          <w:rFonts w:ascii="Roboto" w:hAnsi="Roboto"/>
          <w:color w:val="000000"/>
        </w:rPr>
        <w:t xml:space="preserve"> 2500 palabras / 5 páginas</w:t>
      </w:r>
    </w:p>
    <w:p w14:paraId="0C90B8F2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Formatos de archivo aceptados:</w:t>
      </w:r>
      <w:r>
        <w:rPr>
          <w:rFonts w:ascii="Roboto" w:hAnsi="Roboto"/>
          <w:color w:val="000000"/>
        </w:rPr>
        <w:t xml:space="preserve"> Word, PDF</w:t>
      </w:r>
    </w:p>
    <w:p w14:paraId="2713D5FC" w14:textId="77777777" w:rsidR="00180CDF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Idiomas aceptados:</w:t>
      </w:r>
      <w:r>
        <w:rPr>
          <w:rFonts w:ascii="Roboto" w:hAnsi="Roboto"/>
          <w:color w:val="000000"/>
        </w:rPr>
        <w:t xml:space="preserve"> inglés, francés, español</w:t>
      </w:r>
    </w:p>
    <w:p w14:paraId="3F04F59F" w14:textId="7D177F86" w:rsidR="00180CDF" w:rsidRDefault="00180CDF">
      <w:pPr>
        <w:spacing w:before="100" w:after="100"/>
        <w:jc w:val="both"/>
      </w:pPr>
    </w:p>
    <w:sectPr w:rsidR="00180CDF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CD3256"/>
    <w:multiLevelType w:val="hybridMultilevel"/>
    <w:tmpl w:val="7D441300"/>
    <w:lvl w:ilvl="0" w:tplc="30F826E6">
      <w:start w:val="1"/>
      <w:numFmt w:val="bullet"/>
      <w:lvlText w:val="•"/>
      <w:lvlJc w:val="left"/>
      <w:pPr>
        <w:ind w:left="720" w:hanging="360"/>
      </w:pPr>
    </w:lvl>
    <w:lvl w:ilvl="1" w:tplc="95125224">
      <w:numFmt w:val="decimal"/>
      <w:lvlText w:val=""/>
      <w:lvlJc w:val="left"/>
    </w:lvl>
    <w:lvl w:ilvl="2" w:tplc="AD9A95E4">
      <w:numFmt w:val="decimal"/>
      <w:lvlText w:val=""/>
      <w:lvlJc w:val="left"/>
    </w:lvl>
    <w:lvl w:ilvl="3" w:tplc="EF74DFAE">
      <w:numFmt w:val="decimal"/>
      <w:lvlText w:val=""/>
      <w:lvlJc w:val="left"/>
    </w:lvl>
    <w:lvl w:ilvl="4" w:tplc="B6F4431A">
      <w:numFmt w:val="decimal"/>
      <w:lvlText w:val=""/>
      <w:lvlJc w:val="left"/>
    </w:lvl>
    <w:lvl w:ilvl="5" w:tplc="9192F1AA">
      <w:numFmt w:val="decimal"/>
      <w:lvlText w:val=""/>
      <w:lvlJc w:val="left"/>
    </w:lvl>
    <w:lvl w:ilvl="6" w:tplc="B2B69FF6">
      <w:numFmt w:val="decimal"/>
      <w:lvlText w:val=""/>
      <w:lvlJc w:val="left"/>
    </w:lvl>
    <w:lvl w:ilvl="7" w:tplc="186E9F4C">
      <w:numFmt w:val="decimal"/>
      <w:lvlText w:val=""/>
      <w:lvlJc w:val="left"/>
    </w:lvl>
    <w:lvl w:ilvl="8" w:tplc="B9AC852A">
      <w:numFmt w:val="decimal"/>
      <w:lvlText w:val=""/>
      <w:lvlJc w:val="left"/>
    </w:lvl>
  </w:abstractNum>
  <w:abstractNum w:abstractNumId="1" w15:restartNumberingAfterBreak="0">
    <w:nsid w:val="29AE37D0"/>
    <w:multiLevelType w:val="hybridMultilevel"/>
    <w:tmpl w:val="E84687A6"/>
    <w:lvl w:ilvl="0" w:tplc="7C7E80EA">
      <w:start w:val="1"/>
      <w:numFmt w:val="bullet"/>
      <w:lvlText w:val="●"/>
      <w:lvlJc w:val="left"/>
      <w:pPr>
        <w:ind w:left="720" w:hanging="360"/>
      </w:pPr>
    </w:lvl>
    <w:lvl w:ilvl="1" w:tplc="F83CD27C">
      <w:start w:val="1"/>
      <w:numFmt w:val="bullet"/>
      <w:lvlText w:val="○"/>
      <w:lvlJc w:val="left"/>
      <w:pPr>
        <w:ind w:left="1440" w:hanging="360"/>
      </w:pPr>
    </w:lvl>
    <w:lvl w:ilvl="2" w:tplc="9D728A40">
      <w:start w:val="1"/>
      <w:numFmt w:val="bullet"/>
      <w:lvlText w:val="■"/>
      <w:lvlJc w:val="left"/>
      <w:pPr>
        <w:ind w:left="2160" w:hanging="360"/>
      </w:pPr>
    </w:lvl>
    <w:lvl w:ilvl="3" w:tplc="2444ACCC">
      <w:start w:val="1"/>
      <w:numFmt w:val="bullet"/>
      <w:lvlText w:val="●"/>
      <w:lvlJc w:val="left"/>
      <w:pPr>
        <w:ind w:left="2880" w:hanging="360"/>
      </w:pPr>
    </w:lvl>
    <w:lvl w:ilvl="4" w:tplc="9670EF66">
      <w:start w:val="1"/>
      <w:numFmt w:val="bullet"/>
      <w:lvlText w:val="○"/>
      <w:lvlJc w:val="left"/>
      <w:pPr>
        <w:ind w:left="3600" w:hanging="360"/>
      </w:pPr>
    </w:lvl>
    <w:lvl w:ilvl="5" w:tplc="C0283A9A">
      <w:start w:val="1"/>
      <w:numFmt w:val="bullet"/>
      <w:lvlText w:val="■"/>
      <w:lvlJc w:val="left"/>
      <w:pPr>
        <w:ind w:left="4320" w:hanging="360"/>
      </w:pPr>
    </w:lvl>
    <w:lvl w:ilvl="6" w:tplc="712637F6">
      <w:start w:val="1"/>
      <w:numFmt w:val="bullet"/>
      <w:lvlText w:val="●"/>
      <w:lvlJc w:val="left"/>
      <w:pPr>
        <w:ind w:left="5040" w:hanging="360"/>
      </w:pPr>
    </w:lvl>
    <w:lvl w:ilvl="7" w:tplc="39E45C5E">
      <w:start w:val="1"/>
      <w:numFmt w:val="bullet"/>
      <w:lvlText w:val="●"/>
      <w:lvlJc w:val="left"/>
      <w:pPr>
        <w:ind w:left="5760" w:hanging="360"/>
      </w:pPr>
    </w:lvl>
    <w:lvl w:ilvl="8" w:tplc="0A70C28E">
      <w:start w:val="1"/>
      <w:numFmt w:val="bullet"/>
      <w:lvlText w:val="●"/>
      <w:lvlJc w:val="left"/>
      <w:pPr>
        <w:ind w:left="6480" w:hanging="360"/>
      </w:pPr>
    </w:lvl>
  </w:abstractNum>
  <w:num w:numId="1" w16cid:durableId="524175888">
    <w:abstractNumId w:val="1"/>
    <w:lvlOverride w:ilvl="0">
      <w:startOverride w:val="1"/>
    </w:lvlOverride>
  </w:num>
  <w:num w:numId="2" w16cid:durableId="4941042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6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CDF"/>
    <w:rsid w:val="00180CDF"/>
    <w:rsid w:val="005F2A43"/>
    <w:rsid w:val="00A5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F37DD8"/>
  <w15:docId w15:val="{B77195F0-A6E7-604E-8569-D652ADD4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rc-ie-sogi@u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1939</Words>
  <Characters>10278</Characters>
  <Application>Microsoft Office Word</Application>
  <DocSecurity>0</DocSecurity>
  <Lines>125</Lines>
  <Paragraphs>44</Paragraphs>
  <ScaleCrop>false</ScaleCrop>
  <Company/>
  <LinksUpToDate>false</LinksUpToDate>
  <CharactersWithSpaces>12173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 Camila Herrera Sosa</cp:lastModifiedBy>
  <cp:revision>2</cp:revision>
  <dcterms:created xsi:type="dcterms:W3CDTF">2026-09-16T19:00:00Z</dcterms:created>
  <dcterms:modified xsi:type="dcterms:W3CDTF">2026-09-16T20:21:00Z</dcterms:modified>
</cp:coreProperties>
</file>