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A7A098" w14:textId="77777777" w:rsidR="00A03010" w:rsidRDefault="00000000">
      <w:pPr>
        <w:spacing w:before="100" w:after="100"/>
        <w:jc w:val="center"/>
      </w:pPr>
      <w:r>
        <w:rPr>
          <w:rFonts w:ascii="Roboto" w:hAnsi="Roboto"/>
          <w:b/>
          <w:bCs/>
          <w:color w:val="000000"/>
          <w:sz w:val="36"/>
          <w:szCs w:val="36"/>
        </w:rPr>
        <w:t>Convocatoria para la presentación de aportes de los Estados: Grupo de Trabajo sobre la cuestión de los derechos humanos y las empresas transnacionales y otras empresas</w:t>
      </w:r>
    </w:p>
    <w:p w14:paraId="2AC8BC90" w14:textId="77777777" w:rsidR="00A03010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PUBLICADO POR:</w:t>
      </w:r>
      <w:r>
        <w:rPr>
          <w:rFonts w:ascii="Roboto" w:hAnsi="Roboto"/>
          <w:color w:val="000000"/>
        </w:rPr>
        <w:t xml:space="preserve"> Grupo de Trabajo sobre las Empresas y los Derechos Humanos</w:t>
      </w:r>
    </w:p>
    <w:p w14:paraId="71F6B5E1" w14:textId="77777777" w:rsidR="00A03010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PLAZO LÍMITE:</w:t>
      </w:r>
      <w:r>
        <w:rPr>
          <w:rFonts w:ascii="Roboto" w:hAnsi="Roboto"/>
          <w:color w:val="000000"/>
        </w:rPr>
        <w:t xml:space="preserve"> 28 de octubre de 2026</w:t>
      </w:r>
    </w:p>
    <w:p w14:paraId="20AC6337" w14:textId="77777777" w:rsidR="00A03010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Propósito:</w:t>
      </w:r>
      <w:r>
        <w:rPr>
          <w:rFonts w:ascii="Roboto" w:hAnsi="Roboto"/>
          <w:color w:val="000000"/>
        </w:rPr>
        <w:t xml:space="preserve"> Recabar aportes de los Estados para el informe del Grupo de Trabajo que se presentará ante el 65º período de sesiones del Consejo de Derechos Humanos en junio de 2027.</w:t>
      </w:r>
    </w:p>
    <w:p w14:paraId="1066ECCE" w14:textId="77777777" w:rsidR="00A03010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Antecedentes</w:t>
      </w:r>
    </w:p>
    <w:p w14:paraId="57975AAC" w14:textId="77777777" w:rsidR="00A03010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En cumplimiento de la resolución 62/5 del Consejo de Derechos Humanos, el Grupo de Trabajo de las Naciones Unidas sobre la cuestión de los derechos humanos y las empresas transnacionales y otras empresas (el Grupo de Trabajo) presentará un informe temático ante el 65º período de sesiones del Consejo de Derechos Humanos en junio de 2027.</w:t>
      </w:r>
    </w:p>
    <w:p w14:paraId="647E6F65" w14:textId="77777777" w:rsidR="00A03010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Los Principios Rectores sobre las Empresas y los Derechos Humanos (los Principios Rectores) constituyen el marco global de referencia para abordar las violaciones y los abusos de derechos humanos relacionados con las empresas, incluso mediante la debida diligencia en materia de derechos humanos y el acceso a recursos efectivos. Sin embargo, su aplicación a los daños de derechos humanos heredados del pasado ("</w:t>
      </w:r>
      <w:proofErr w:type="spellStart"/>
      <w:r>
        <w:rPr>
          <w:rFonts w:ascii="Roboto" w:hAnsi="Roboto"/>
          <w:color w:val="000000"/>
        </w:rPr>
        <w:t>legacy</w:t>
      </w:r>
      <w:proofErr w:type="spellEnd"/>
      <w:r>
        <w:rPr>
          <w:rFonts w:ascii="Roboto" w:hAnsi="Roboto"/>
          <w:color w:val="000000"/>
        </w:rPr>
        <w:t xml:space="preserve"> </w:t>
      </w:r>
      <w:proofErr w:type="spellStart"/>
      <w:r>
        <w:rPr>
          <w:rFonts w:ascii="Roboto" w:hAnsi="Roboto"/>
          <w:color w:val="000000"/>
        </w:rPr>
        <w:t>harms</w:t>
      </w:r>
      <w:proofErr w:type="spellEnd"/>
      <w:r>
        <w:rPr>
          <w:rFonts w:ascii="Roboto" w:hAnsi="Roboto"/>
          <w:color w:val="000000"/>
        </w:rPr>
        <w:t>") ha recibido una atención específica limitada. El informe propuesto se referirá a estos daños como los impactos adversos sobre los derechos humanos causados, o a los que se ha contribuido, o que están directamente vinculados a actividades empresariales del pasado, cuyas consecuencias permanecen sin resolver, siguen afectando a los titulares de derechos, y en los que la responsabilidad, la rendición de cuentas y el recurso apropiado siguen siendo objeto de controversia.</w:t>
      </w:r>
    </w:p>
    <w:p w14:paraId="618459A5" w14:textId="77777777" w:rsidR="00A03010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Objetivos</w:t>
      </w:r>
    </w:p>
    <w:p w14:paraId="2D6FF49F" w14:textId="77777777" w:rsidR="00A03010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El informe explorará cómo los períodos de transición, como en el contexto de fusiones y adquisiciones, desinversiones, transferencias de proyectos, privatizaciones y otros cambios de propiedad, control o gobernanza, plantean desafíos desde la perspectiva de las empresas y los derechos humanos. En dichas transiciones, la identificación de los titulares de obligaciones y de los actores empresariales responsables de los daños de derechos humanos pasados y presentes, incluidos los daños ambientales, suele dar lugar a vacíos de rendición de cuentas o de acceso a recursos para los titulares de derechos afectados.</w:t>
      </w:r>
    </w:p>
    <w:p w14:paraId="3B083DE5" w14:textId="77777777" w:rsidR="00A03010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A través del lente de los tres pilares de los Principios Rectores, el informe examinará cómo los Estados, las empresas, los inversores y otros actores pertinentes pueden garantizar medidas de mitigación y recursos efectivos para los daños no resueltos, y que los distintos tipos de transición no menoscaben la rendición de cuentas y el acceso a recursos.</w:t>
      </w:r>
    </w:p>
    <w:p w14:paraId="463B54A1" w14:textId="77777777" w:rsidR="00A03010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Preguntas clave y tipos de contribuciones/comentarios solicitados</w:t>
      </w:r>
    </w:p>
    <w:p w14:paraId="6D2A878B" w14:textId="77777777" w:rsidR="00A03010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Solicitamos que su contribución sea concisa y no supere las 2500 palabras, y damos la bienvenida a la inclusión de enlaces a documentos en línea. Debido a la capacidad limitada de traducción, también solicitamos que los aportes se presenten en inglés, francés o español.</w:t>
      </w:r>
    </w:p>
    <w:p w14:paraId="139EBE49" w14:textId="77777777" w:rsidR="00A03010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Agradecemos sus esfuerzos por remitir sus valiosos aportes para este informe, así como su colaboración y apoyo a la implementación de este mandato. Si cuenta con información previamente remitida a otros procedimientos especiales o mecanismos de derechos humanos que pueda ser pertinente, sírvase hacer referencia a ella a fin de evitar duplicaciones y facilitar la coordinación.</w:t>
      </w:r>
    </w:p>
    <w:p w14:paraId="4BF6A174" w14:textId="77777777" w:rsidR="00A03010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 xml:space="preserve">El plazo para la presentación es el 28 de octubre de 2026. Sírvase enviar sus respuestas en formato Word (asunto: HRC </w:t>
      </w:r>
      <w:proofErr w:type="spellStart"/>
      <w:r>
        <w:rPr>
          <w:rFonts w:ascii="Roboto" w:hAnsi="Roboto"/>
          <w:color w:val="000000"/>
        </w:rPr>
        <w:t>contributions</w:t>
      </w:r>
      <w:proofErr w:type="spellEnd"/>
      <w:r>
        <w:rPr>
          <w:rFonts w:ascii="Roboto" w:hAnsi="Roboto"/>
          <w:color w:val="000000"/>
        </w:rPr>
        <w:t>) a la dirección de correo indicada más abajo.</w:t>
      </w:r>
    </w:p>
    <w:p w14:paraId="4F9CBC0D" w14:textId="77777777" w:rsidR="00A03010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 xml:space="preserve">A menos que se solicite expresamente lo contrario, y siempre que se ajusten a las normas y estándares de las Naciones Unidas, las contribuciones se publicarán en la página del mandato en el sitio web de la </w:t>
      </w:r>
      <w:r>
        <w:rPr>
          <w:rFonts w:ascii="Roboto" w:hAnsi="Roboto"/>
          <w:color w:val="000000"/>
        </w:rPr>
        <w:lastRenderedPageBreak/>
        <w:t>OACNUDH y podrán mencionarse en los informes. En consideración de las cuestiones de consentimiento y privacidad, las contribuciones que contengan nombres de presuntas víctimas serán consideradas, pero no se publicarán en línea.</w:t>
      </w:r>
    </w:p>
    <w:p w14:paraId="4AE7218D" w14:textId="522D39AF" w:rsidR="00A03010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Para obtener información adicional sobre el mandato del Grupo de Trabajo: https://www.ohchr.org/en/special-procedures/wg-business. Para contactar al mandato del Grupo de Trabajo</w:t>
      </w:r>
      <w:r w:rsidR="00EE69A8">
        <w:rPr>
          <w:rFonts w:ascii="Roboto" w:hAnsi="Roboto"/>
          <w:color w:val="000000"/>
        </w:rPr>
        <w:t xml:space="preserve"> </w:t>
      </w:r>
      <w:hyperlink r:id="rId5" w:history="1">
        <w:r w:rsidR="00EE69A8">
          <w:rPr>
            <w:rStyle w:val="Fuerte"/>
            <w:rFonts w:ascii="Roboto" w:hAnsi="Roboto"/>
            <w:color w:val="0000FF"/>
            <w:u w:val="single"/>
          </w:rPr>
          <w:t>hrc-wg-business@un.org</w:t>
        </w:r>
      </w:hyperlink>
    </w:p>
    <w:p w14:paraId="1FFF0E78" w14:textId="77777777" w:rsidR="00A03010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Preguntas para los Estados Miembros</w:t>
      </w:r>
    </w:p>
    <w:p w14:paraId="16DAC8D2" w14:textId="77777777" w:rsidR="00A03010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¿Existen leyes, políticas, reglamentos, planes de acción nacionales, marcos ambientales u otros marcos que regulen los daños no resueltos derivados de transiciones de gobernanza u operativas (por ejemplo, fusiones y adquisiciones; transferencias de proyectos; privatizaciones; desinversiones; cierre de operaciones; procedimientos de insolvencia)?</w:t>
      </w:r>
    </w:p>
    <w:p w14:paraId="6256CEBE" w14:textId="77777777" w:rsidR="00A03010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¿Existen requisitos para las empresas relacionados con el abordaje de daños no resueltos vinculados a sus actividades en los procesos de otorgamiento de licencias, concesiones o contratación pública?</w:t>
      </w:r>
    </w:p>
    <w:p w14:paraId="3746408A" w14:textId="77777777" w:rsidR="00A03010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¿Los tribunales, las instituciones nacionales de derechos humanos, los organismos ambientales, las inspecciones laborales, los puntos de contacto nacionales de la OCDE u otros organismos públicos han abordado casos relacionados con daños heredados? Sírvase proporcionar ejemplos, incluidos los factores que contribuyeron a resultados exitosos.</w:t>
      </w:r>
    </w:p>
    <w:p w14:paraId="1D26CF18" w14:textId="77777777" w:rsidR="00A03010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¿Qué desafíos han enfrentado los titulares de derechos al buscar y obtener justicia y un recurso efectivo frente a daños históricos o actuales vinculados a actividades empresariales pasadas?</w:t>
      </w:r>
    </w:p>
    <w:p w14:paraId="74E380D7" w14:textId="77777777" w:rsidR="00A03010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¿Puede compartir ejemplos de vacíos de rendición de cuentas o de acceso a recursos surgidos tras transiciones empresariales? Sírvase proporcionar ejemplos y lecciones aprendidas.</w:t>
      </w:r>
    </w:p>
    <w:p w14:paraId="56D2AFFD" w14:textId="77777777" w:rsidR="00A03010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¿Su Estado garantiza la participación significativa de las personas y comunidades afectadas en las decisiones relativas a daños heredados y transiciones empresariales?</w:t>
      </w:r>
    </w:p>
    <w:p w14:paraId="6BB66EB9" w14:textId="77777777" w:rsidR="00A03010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¿Qué medidas existen para proteger a los Pueblos Indígenas, los representantes comunitarios, los defensores de derechos humanos, los trabajadores, los sindicalistas y otras personas que buscan rendición de cuentas por daños heredados?</w:t>
      </w:r>
    </w:p>
    <w:p w14:paraId="50C2AC09" w14:textId="77777777" w:rsidR="00A03010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¿Se han adoptado medidas específicas para abordar daños heredados que afecten a Pueblos Indígenas, mujeres, niños, minorías, comunidades rurales, personas lesbianas, gais, bisexuales, transgénero e intersexuales (LGBTI), u otros grupos con mayor riesgo de discriminación y marginación? De ser así, sírvase proporcionar ejemplos, incluso en contextos afectados por conflicto, desplazamiento o degradación ambiental.</w:t>
      </w:r>
    </w:p>
    <w:p w14:paraId="574EC6A3" w14:textId="77777777" w:rsidR="00A03010" w:rsidRDefault="00000000">
      <w:pPr>
        <w:pStyle w:val="Prrafodelista"/>
        <w:numPr>
          <w:ilvl w:val="0"/>
          <w:numId w:val="2"/>
        </w:numPr>
        <w:spacing w:before="100" w:after="100"/>
        <w:jc w:val="both"/>
      </w:pPr>
      <w:r>
        <w:rPr>
          <w:rFonts w:ascii="Roboto" w:hAnsi="Roboto"/>
          <w:color w:val="000000"/>
        </w:rPr>
        <w:t>¿Qué medidas adicionales se necesitan a nivel nacional, regional o internacional para cerrar los vacíos de rendición de cuentas y de acceso a recursos relacionados con daños heredados?</w:t>
      </w:r>
    </w:p>
    <w:p w14:paraId="04272E3D" w14:textId="77777777" w:rsidR="00A03010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Próximas etapas</w:t>
      </w:r>
    </w:p>
    <w:p w14:paraId="6E259786" w14:textId="77777777" w:rsidR="00A03010" w:rsidRDefault="00000000">
      <w:pPr>
        <w:spacing w:before="100" w:after="100"/>
        <w:jc w:val="both"/>
      </w:pPr>
      <w:r>
        <w:rPr>
          <w:rFonts w:ascii="Roboto" w:hAnsi="Roboto"/>
          <w:color w:val="000000"/>
        </w:rPr>
        <w:t>Las contribuciones/comentarios pueden enviarse por correo electrónico. Deben recibirse antes del 28 de octubre de 2026.</w:t>
      </w:r>
    </w:p>
    <w:p w14:paraId="3332E6D1" w14:textId="4341D040" w:rsidR="00A03010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Dirección de correo electrónico:</w:t>
      </w:r>
      <w:r>
        <w:rPr>
          <w:rFonts w:ascii="Roboto" w:hAnsi="Roboto"/>
          <w:color w:val="000000"/>
        </w:rPr>
        <w:t xml:space="preserve"> </w:t>
      </w:r>
      <w:hyperlink r:id="rId6" w:history="1">
        <w:r w:rsidR="00EE69A8">
          <w:rPr>
            <w:rStyle w:val="Fuerte"/>
            <w:rFonts w:ascii="Roboto" w:hAnsi="Roboto"/>
            <w:color w:val="0000FF"/>
            <w:u w:val="single"/>
          </w:rPr>
          <w:t>hrc-wg-business@un.org</w:t>
        </w:r>
      </w:hyperlink>
    </w:p>
    <w:p w14:paraId="42CDB26C" w14:textId="77777777" w:rsidR="00A03010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Asunto del correo electrónico:</w:t>
      </w:r>
      <w:r>
        <w:rPr>
          <w:rFonts w:ascii="Roboto" w:hAnsi="Roboto"/>
          <w:color w:val="000000"/>
        </w:rPr>
        <w:t xml:space="preserve"> HRC </w:t>
      </w:r>
      <w:proofErr w:type="spellStart"/>
      <w:r>
        <w:rPr>
          <w:rFonts w:ascii="Roboto" w:hAnsi="Roboto"/>
          <w:color w:val="000000"/>
        </w:rPr>
        <w:t>contributions</w:t>
      </w:r>
      <w:proofErr w:type="spellEnd"/>
    </w:p>
    <w:p w14:paraId="6842B28C" w14:textId="77777777" w:rsidR="00A03010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Límite de palabras o páginas:</w:t>
      </w:r>
      <w:r>
        <w:rPr>
          <w:rFonts w:ascii="Roboto" w:hAnsi="Roboto"/>
          <w:color w:val="000000"/>
        </w:rPr>
        <w:t xml:space="preserve"> 2500 palabras</w:t>
      </w:r>
    </w:p>
    <w:p w14:paraId="61C8927A" w14:textId="77777777" w:rsidR="00A03010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Formatos de archivo aceptados:</w:t>
      </w:r>
      <w:r>
        <w:rPr>
          <w:rFonts w:ascii="Roboto" w:hAnsi="Roboto"/>
          <w:color w:val="000000"/>
        </w:rPr>
        <w:t xml:space="preserve"> Word</w:t>
      </w:r>
    </w:p>
    <w:p w14:paraId="66A8488E" w14:textId="77777777" w:rsidR="00A03010" w:rsidRDefault="00000000">
      <w:pPr>
        <w:spacing w:before="100" w:after="100"/>
        <w:jc w:val="both"/>
      </w:pPr>
      <w:r>
        <w:rPr>
          <w:rFonts w:ascii="Roboto" w:hAnsi="Roboto"/>
          <w:b/>
          <w:bCs/>
          <w:color w:val="000000"/>
        </w:rPr>
        <w:t>Idiomas aceptados:</w:t>
      </w:r>
      <w:r>
        <w:rPr>
          <w:rFonts w:ascii="Roboto" w:hAnsi="Roboto"/>
          <w:color w:val="000000"/>
        </w:rPr>
        <w:t xml:space="preserve"> inglés, francés, español</w:t>
      </w:r>
    </w:p>
    <w:p w14:paraId="60F4618D" w14:textId="1559FE78" w:rsidR="00A03010" w:rsidRDefault="00A03010">
      <w:pPr>
        <w:spacing w:before="100" w:after="100"/>
        <w:jc w:val="both"/>
      </w:pPr>
    </w:p>
    <w:sectPr w:rsidR="00A03010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8B7D58"/>
    <w:multiLevelType w:val="hybridMultilevel"/>
    <w:tmpl w:val="BC72E926"/>
    <w:lvl w:ilvl="0" w:tplc="ECA40E8E">
      <w:start w:val="1"/>
      <w:numFmt w:val="bullet"/>
      <w:lvlText w:val="●"/>
      <w:lvlJc w:val="left"/>
      <w:pPr>
        <w:ind w:left="720" w:hanging="360"/>
      </w:pPr>
    </w:lvl>
    <w:lvl w:ilvl="1" w:tplc="9874222C">
      <w:start w:val="1"/>
      <w:numFmt w:val="bullet"/>
      <w:lvlText w:val="○"/>
      <w:lvlJc w:val="left"/>
      <w:pPr>
        <w:ind w:left="1440" w:hanging="360"/>
      </w:pPr>
    </w:lvl>
    <w:lvl w:ilvl="2" w:tplc="47BEA176">
      <w:start w:val="1"/>
      <w:numFmt w:val="bullet"/>
      <w:lvlText w:val="■"/>
      <w:lvlJc w:val="left"/>
      <w:pPr>
        <w:ind w:left="2160" w:hanging="360"/>
      </w:pPr>
    </w:lvl>
    <w:lvl w:ilvl="3" w:tplc="C17897CE">
      <w:start w:val="1"/>
      <w:numFmt w:val="bullet"/>
      <w:lvlText w:val="●"/>
      <w:lvlJc w:val="left"/>
      <w:pPr>
        <w:ind w:left="2880" w:hanging="360"/>
      </w:pPr>
    </w:lvl>
    <w:lvl w:ilvl="4" w:tplc="5B72A3CA">
      <w:start w:val="1"/>
      <w:numFmt w:val="bullet"/>
      <w:lvlText w:val="○"/>
      <w:lvlJc w:val="left"/>
      <w:pPr>
        <w:ind w:left="3600" w:hanging="360"/>
      </w:pPr>
    </w:lvl>
    <w:lvl w:ilvl="5" w:tplc="15ACCF2C">
      <w:start w:val="1"/>
      <w:numFmt w:val="bullet"/>
      <w:lvlText w:val="■"/>
      <w:lvlJc w:val="left"/>
      <w:pPr>
        <w:ind w:left="4320" w:hanging="360"/>
      </w:pPr>
    </w:lvl>
    <w:lvl w:ilvl="6" w:tplc="882A2742">
      <w:start w:val="1"/>
      <w:numFmt w:val="bullet"/>
      <w:lvlText w:val="●"/>
      <w:lvlJc w:val="left"/>
      <w:pPr>
        <w:ind w:left="5040" w:hanging="360"/>
      </w:pPr>
    </w:lvl>
    <w:lvl w:ilvl="7" w:tplc="92AAEE24">
      <w:start w:val="1"/>
      <w:numFmt w:val="bullet"/>
      <w:lvlText w:val="●"/>
      <w:lvlJc w:val="left"/>
      <w:pPr>
        <w:ind w:left="5760" w:hanging="360"/>
      </w:pPr>
    </w:lvl>
    <w:lvl w:ilvl="8" w:tplc="8A2C48B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CBD3DB6"/>
    <w:multiLevelType w:val="hybridMultilevel"/>
    <w:tmpl w:val="3C9EC8DA"/>
    <w:lvl w:ilvl="0" w:tplc="DAA81F6E">
      <w:start w:val="1"/>
      <w:numFmt w:val="bullet"/>
      <w:lvlText w:val="•"/>
      <w:lvlJc w:val="left"/>
      <w:pPr>
        <w:ind w:left="720" w:hanging="360"/>
      </w:pPr>
    </w:lvl>
    <w:lvl w:ilvl="1" w:tplc="40BE3940">
      <w:numFmt w:val="decimal"/>
      <w:lvlText w:val=""/>
      <w:lvlJc w:val="left"/>
    </w:lvl>
    <w:lvl w:ilvl="2" w:tplc="CD6E7C04">
      <w:numFmt w:val="decimal"/>
      <w:lvlText w:val=""/>
      <w:lvlJc w:val="left"/>
    </w:lvl>
    <w:lvl w:ilvl="3" w:tplc="4CD8513E">
      <w:numFmt w:val="decimal"/>
      <w:lvlText w:val=""/>
      <w:lvlJc w:val="left"/>
    </w:lvl>
    <w:lvl w:ilvl="4" w:tplc="11AA082E">
      <w:numFmt w:val="decimal"/>
      <w:lvlText w:val=""/>
      <w:lvlJc w:val="left"/>
    </w:lvl>
    <w:lvl w:ilvl="5" w:tplc="32869CB6">
      <w:numFmt w:val="decimal"/>
      <w:lvlText w:val=""/>
      <w:lvlJc w:val="left"/>
    </w:lvl>
    <w:lvl w:ilvl="6" w:tplc="6672A838">
      <w:numFmt w:val="decimal"/>
      <w:lvlText w:val=""/>
      <w:lvlJc w:val="left"/>
    </w:lvl>
    <w:lvl w:ilvl="7" w:tplc="DF0454D8">
      <w:numFmt w:val="decimal"/>
      <w:lvlText w:val=""/>
      <w:lvlJc w:val="left"/>
    </w:lvl>
    <w:lvl w:ilvl="8" w:tplc="7B8C2034">
      <w:numFmt w:val="decimal"/>
      <w:lvlText w:val=""/>
      <w:lvlJc w:val="left"/>
    </w:lvl>
  </w:abstractNum>
  <w:num w:numId="1" w16cid:durableId="1305313142">
    <w:abstractNumId w:val="0"/>
    <w:lvlOverride w:ilvl="0">
      <w:startOverride w:val="1"/>
    </w:lvlOverride>
  </w:num>
  <w:num w:numId="2" w16cid:durableId="9479425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6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010"/>
    <w:rsid w:val="005F2A43"/>
    <w:rsid w:val="00A03010"/>
    <w:rsid w:val="00E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11759F"/>
  <w15:docId w15:val="{B77195F0-A6E7-604E-8569-D652ADD4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Fuerte">
    <w:name w:val="Strong"/>
    <w:basedOn w:val="Fuentedeprrafopredeter"/>
    <w:uiPriority w:val="22"/>
    <w:qFormat/>
    <w:rsid w:val="00EE69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c-wg-business@un.org" TargetMode="External"/><Relationship Id="rId5" Type="http://schemas.openxmlformats.org/officeDocument/2006/relationships/hyperlink" Target="mailto:hrc-wg-business@u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5868</Characters>
  <Application>Microsoft Office Word</Application>
  <DocSecurity>0</DocSecurity>
  <Lines>71</Lines>
  <Paragraphs>25</Paragraphs>
  <ScaleCrop>false</ScaleCrop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 Camila Herrera Sosa</cp:lastModifiedBy>
  <cp:revision>2</cp:revision>
  <dcterms:created xsi:type="dcterms:W3CDTF">2026-09-16T19:00:00Z</dcterms:created>
  <dcterms:modified xsi:type="dcterms:W3CDTF">2026-09-16T20:26:00Z</dcterms:modified>
</cp:coreProperties>
</file>