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4DC580" w14:textId="77777777" w:rsidR="004A07FF" w:rsidRDefault="00000000">
      <w:pPr>
        <w:spacing w:before="100" w:after="100"/>
        <w:jc w:val="center"/>
      </w:pPr>
      <w:r>
        <w:rPr>
          <w:rFonts w:ascii="Roboto" w:hAnsi="Roboto"/>
          <w:b/>
          <w:bCs/>
          <w:color w:val="000000"/>
          <w:sz w:val="36"/>
          <w:szCs w:val="36"/>
        </w:rPr>
        <w:t>Convocatoria para la presentación de aportes: implementación de la actualización de la guía técnica sobre la aplicación de un enfoque basado en los derechos humanos para la eliminación de la mortalidad y morbilidad materna prevenibles</w:t>
      </w:r>
    </w:p>
    <w:p w14:paraId="549EA34E" w14:textId="77777777" w:rsidR="004A07FF" w:rsidRDefault="00000000">
      <w:pPr>
        <w:spacing w:before="100" w:after="100"/>
        <w:jc w:val="both"/>
      </w:pPr>
      <w:r>
        <w:rPr>
          <w:rFonts w:ascii="Roboto" w:hAnsi="Roboto"/>
          <w:b/>
          <w:bCs/>
          <w:color w:val="000000"/>
        </w:rPr>
        <w:t>PUBLICADO POR:</w:t>
      </w:r>
      <w:r>
        <w:rPr>
          <w:rFonts w:ascii="Roboto" w:hAnsi="Roboto"/>
          <w:color w:val="000000"/>
        </w:rPr>
        <w:t xml:space="preserve"> ACNUDH</w:t>
      </w:r>
    </w:p>
    <w:p w14:paraId="64EBBF13" w14:textId="77777777" w:rsidR="004A07FF" w:rsidRDefault="00000000">
      <w:pPr>
        <w:spacing w:before="100" w:after="100"/>
        <w:jc w:val="both"/>
      </w:pPr>
      <w:r>
        <w:rPr>
          <w:rFonts w:ascii="Roboto" w:hAnsi="Roboto"/>
          <w:b/>
          <w:bCs/>
          <w:color w:val="000000"/>
        </w:rPr>
        <w:t>PLAZO LÍMITE:</w:t>
      </w:r>
      <w:r>
        <w:rPr>
          <w:rFonts w:ascii="Roboto" w:hAnsi="Roboto"/>
          <w:color w:val="000000"/>
        </w:rPr>
        <w:t xml:space="preserve"> 17 de noviembre de 2026</w:t>
      </w:r>
    </w:p>
    <w:p w14:paraId="430E30A4" w14:textId="77777777" w:rsidR="004A07FF" w:rsidRDefault="00000000">
      <w:pPr>
        <w:spacing w:before="100" w:after="100"/>
        <w:jc w:val="both"/>
      </w:pPr>
      <w:r>
        <w:rPr>
          <w:rFonts w:ascii="Roboto" w:hAnsi="Roboto"/>
          <w:b/>
          <w:bCs/>
          <w:color w:val="000000"/>
        </w:rPr>
        <w:t>Propósito:</w:t>
      </w:r>
      <w:r>
        <w:rPr>
          <w:rFonts w:ascii="Roboto" w:hAnsi="Roboto"/>
          <w:color w:val="000000"/>
        </w:rPr>
        <w:t xml:space="preserve"> Informar la preparación de un informe sobre la implementación de la actualización de la guía técnica sobre la mortalidad y morbilidad materna prevenibles, que se presentará ante el 66º período de sesiones del Consejo de Derechos Humanos, en septiembre de 2027.</w:t>
      </w:r>
    </w:p>
    <w:p w14:paraId="126CDD45" w14:textId="77777777" w:rsidR="004A07FF" w:rsidRDefault="00000000">
      <w:pPr>
        <w:spacing w:before="100" w:after="100"/>
        <w:jc w:val="both"/>
      </w:pPr>
      <w:r>
        <w:rPr>
          <w:rFonts w:ascii="Roboto" w:hAnsi="Roboto"/>
          <w:b/>
          <w:bCs/>
          <w:color w:val="000000"/>
        </w:rPr>
        <w:t>Antecedentes</w:t>
      </w:r>
    </w:p>
    <w:p w14:paraId="757163CC" w14:textId="77777777" w:rsidR="004A07FF" w:rsidRDefault="00000000">
      <w:pPr>
        <w:spacing w:before="100" w:after="100"/>
        <w:jc w:val="both"/>
      </w:pPr>
      <w:r>
        <w:rPr>
          <w:rFonts w:ascii="Roboto" w:hAnsi="Roboto"/>
          <w:color w:val="000000"/>
        </w:rPr>
        <w:t>En cumplimiento de la resolución 60/18 del Consejo de Derechos Humanos, titulada "Mortalidad y morbilidad materna prevenibles y derechos humanos" y aprobada el 7 de octubre de 2025, la OACNUDH facilitará consultas sobre la implementación de la actualización de la guía técnica relativa a la aplicación de un enfoque basado en los derechos humanos para la eliminación de la mortalidad y morbilidad materna prevenibles, así como sobre las buenas prácticas relacionadas con su implementación. La OACNUDH compilará y analizará los ejemplos de buenas prácticas que surjan de esas consultas en un informe, que se presentará ante el Consejo de Derechos Humanos en su 66º período de sesiones, en septiembre de 2027.</w:t>
      </w:r>
    </w:p>
    <w:p w14:paraId="1A0E911B" w14:textId="77777777" w:rsidR="004A07FF" w:rsidRDefault="00000000">
      <w:pPr>
        <w:spacing w:before="100" w:after="100"/>
        <w:jc w:val="both"/>
      </w:pPr>
      <w:r>
        <w:rPr>
          <w:rFonts w:ascii="Roboto" w:hAnsi="Roboto"/>
          <w:b/>
          <w:bCs/>
          <w:color w:val="000000"/>
        </w:rPr>
        <w:t>Objetivos</w:t>
      </w:r>
    </w:p>
    <w:p w14:paraId="3BE1865C" w14:textId="77777777" w:rsidR="004A07FF" w:rsidRDefault="00000000">
      <w:pPr>
        <w:spacing w:before="100" w:after="100"/>
        <w:jc w:val="both"/>
      </w:pPr>
      <w:r>
        <w:rPr>
          <w:rFonts w:ascii="Roboto" w:hAnsi="Roboto"/>
          <w:color w:val="000000"/>
        </w:rPr>
        <w:t>En este contexto, la OACNUDH desea invitar a todos los Estados Miembros de las Naciones Unidas, entidades de las Naciones Unidas, organizaciones regionales, instituciones nacionales de derechos humanos, organizaciones no gubernamentales, instituciones financieras, expertos independientes de los órganos de tratados de derechos humanos y de los procedimientos especiales del Consejo de Derechos Humanos, organizaciones de la sociedad civil y otras partes interesadas pertinentes, como proveedores de salud y actores humanitarios, a presentar información sobre el estado de implementación de las recomendaciones contenidas en la actualización de la guía técnica. La OACNUDH agradecería recibir contribuciones escritas que incluyan respuestas a las preguntas orientativas.</w:t>
      </w:r>
    </w:p>
    <w:p w14:paraId="55EC512F" w14:textId="77777777" w:rsidR="004A07FF" w:rsidRDefault="00000000">
      <w:pPr>
        <w:spacing w:before="100" w:after="100"/>
        <w:jc w:val="both"/>
      </w:pPr>
      <w:r>
        <w:rPr>
          <w:rFonts w:ascii="Roboto" w:hAnsi="Roboto"/>
          <w:b/>
          <w:bCs/>
          <w:color w:val="000000"/>
        </w:rPr>
        <w:t>Preguntas clave y tipos de contribuciones/comentarios solicitados</w:t>
      </w:r>
    </w:p>
    <w:p w14:paraId="65F36924" w14:textId="77777777" w:rsidR="004A07FF" w:rsidRDefault="00000000">
      <w:pPr>
        <w:spacing w:before="100" w:after="100"/>
        <w:jc w:val="both"/>
      </w:pPr>
      <w:r>
        <w:rPr>
          <w:rFonts w:ascii="Roboto" w:hAnsi="Roboto"/>
          <w:color w:val="000000"/>
        </w:rPr>
        <w:t>¿Qué medidas ha adoptado en su país el Gobierno y las organizaciones pertinentes para eliminar la mortalidad y morbilidad materna prevenibles, aplicando un enfoque basado en los derechos humanos a las políticas y servicios de salud materna, incluyendo la promoción de la no discriminación y la igualdad, la garantía de la calidad de los servicios y el fortalecimiento de la rendición de cuentas? Sírvase compartir buenas prácticas documentadas al respecto.</w:t>
      </w:r>
    </w:p>
    <w:p w14:paraId="46156797" w14:textId="77777777" w:rsidR="004A07FF" w:rsidRDefault="00000000">
      <w:pPr>
        <w:spacing w:before="100" w:after="100"/>
        <w:jc w:val="both"/>
      </w:pPr>
      <w:r>
        <w:rPr>
          <w:rFonts w:ascii="Roboto" w:hAnsi="Roboto"/>
          <w:color w:val="000000"/>
        </w:rPr>
        <w:t>¿Qué medidas se han adoptado en su país para abordar genuinamente los factores subyacentes (acceso limitado a atención materna de calidad, incluidas restricciones económicas, sociales, culturales y legales, otros determinantes sociales de la salud, formas múltiples e interseccionales de discriminación, incluida la discriminación de género, y prácticas discriminatorias en los entornos de atención de salud, entre otros) que contribuyen a las muertes y la morbilidad materna?</w:t>
      </w:r>
    </w:p>
    <w:p w14:paraId="3E33D9B5" w14:textId="77777777" w:rsidR="004A07FF" w:rsidRDefault="00000000">
      <w:pPr>
        <w:spacing w:before="100" w:after="100"/>
        <w:jc w:val="both"/>
      </w:pPr>
      <w:r>
        <w:rPr>
          <w:rFonts w:ascii="Roboto" w:hAnsi="Roboto"/>
          <w:color w:val="000000"/>
        </w:rPr>
        <w:t>¿En qué medida los mecanismos de rendición de cuentas existentes (como los recursos jurídicos, las investigaciones públicas y los mecanismos comunitarios, nacionales e internacionales de supervisión de derechos humanos, así como los esfuerzos de litigio, la supervisión parlamentaria nacional a través de comités sectoriales y los mecanismos de seguimiento público liderados por la sociedad civil) identifican, investigan y abordan estas causas profundas, garantizando al mismo tiempo el acceso a recursos efectivos? Sírvase compartir buenas prácticas documentadas y los desafíos correspondientes.</w:t>
      </w:r>
    </w:p>
    <w:p w14:paraId="6633C407" w14:textId="77777777" w:rsidR="004A07FF" w:rsidRDefault="00000000">
      <w:pPr>
        <w:spacing w:before="100" w:after="100"/>
        <w:jc w:val="both"/>
      </w:pPr>
      <w:r>
        <w:rPr>
          <w:rFonts w:ascii="Roboto" w:hAnsi="Roboto"/>
          <w:color w:val="000000"/>
        </w:rPr>
        <w:lastRenderedPageBreak/>
        <w:t>¿Qué medidas ha adoptado su Gobierno u organización para abordar la mortalidad y morbilidad materna prevenibles entre mujeres y niñas en situación de marginación, incluidas las mujeres y niñas que viven en la pobreza, las poblaciones rurales, los Pueblos Indígenas, las personas con discapacidad, los migrantes, los refugiados, las personas desplazadas internamente, las minorías, las adolescentes y otros grupos en riesgo de quedar rezagados? Sírvase compartir buenas prácticas documentadas y lecciones aprendidas.</w:t>
      </w:r>
    </w:p>
    <w:p w14:paraId="6AF42120" w14:textId="77777777" w:rsidR="004A07FF" w:rsidRDefault="00000000">
      <w:pPr>
        <w:spacing w:before="100" w:after="100"/>
        <w:jc w:val="both"/>
      </w:pPr>
      <w:r>
        <w:rPr>
          <w:rFonts w:ascii="Roboto" w:hAnsi="Roboto"/>
          <w:color w:val="000000"/>
        </w:rPr>
        <w:t>¿Qué medidas se han adoptado para garantizar una financiación adecuada, equitativa y sostenible de los servicios y programas de salud materna? ¿Las decisiones sobre la asignación de recursos, la elaboración de presupuestos o las reformas de financiación de la salud han seguido las recomendaciones formuladas en la actualización de la guía técnica sobre mortalidad y morbilidad materna prevenibles? ¿Cómo han abordado estas medidas las prácticas discriminatorias, la insuficiente financiación de los sistemas de salud, la escasez de personal sanitario calificado y otros factores que contribuyen a una atención de baja calidad que deriva en mortalidad y morbilidad materna? Sírvase además especificar si el seguimiento distingue entre las nuevas asignaciones garantizadas y la protección de las asignaciones existentes frente a recortes presupuestarios o reasignaciones, y si la incidencia en materia de financiación se sincroniza con el ciclo presupuestario nacional (definición de prioridades, techos sectoriales, aprobación legislativa y ejecución). Sírvase compartir buenas prácticas documentadas y los desafíos correspondientes.</w:t>
      </w:r>
    </w:p>
    <w:p w14:paraId="32A7A7A3" w14:textId="77777777" w:rsidR="004A07FF" w:rsidRDefault="00000000">
      <w:pPr>
        <w:spacing w:before="100" w:after="100"/>
        <w:jc w:val="both"/>
      </w:pPr>
      <w:r>
        <w:rPr>
          <w:rFonts w:ascii="Roboto" w:hAnsi="Roboto"/>
          <w:color w:val="000000"/>
        </w:rPr>
        <w:t>¿Qué medidas se han adoptado, y en qué grado se han implementado, para ampliar el acceso a la atención materna de base comunitaria, incluidos los modelos de atención de partería, con el fin de brindar servicios de salud materna equitativos, centrados en la persona, respetuosos y de calidad, en particular para las mujeres y niñas en comunidades desatendidas y marginadas? Sírvase compartir buenas prácticas documentadas, así como los desafíos enfrentados en la implementación de estas medidas.</w:t>
      </w:r>
    </w:p>
    <w:p w14:paraId="64D6D7FA" w14:textId="77777777" w:rsidR="004A07FF" w:rsidRDefault="00000000">
      <w:pPr>
        <w:spacing w:before="100" w:after="100"/>
        <w:jc w:val="both"/>
      </w:pPr>
      <w:r>
        <w:rPr>
          <w:rFonts w:ascii="Roboto" w:hAnsi="Roboto"/>
          <w:color w:val="000000"/>
        </w:rPr>
        <w:t>¿Qué medidas concretas ha buscado adoptar su Gobierno u organización para garantizar la continuidad de los servicios de salud materna durante emergencias, crisis humanitarias, conflictos armados, desastres relacionados con el clima, brotes de enfermedades u otras situaciones de inestabilidad? Sírvase compartir buenas prácticas documentadas y los desafíos correspondientes.</w:t>
      </w:r>
    </w:p>
    <w:p w14:paraId="212881C4" w14:textId="77777777" w:rsidR="004A07FF" w:rsidRDefault="00000000">
      <w:pPr>
        <w:spacing w:before="100" w:after="100"/>
        <w:jc w:val="both"/>
      </w:pPr>
      <w:r>
        <w:rPr>
          <w:rFonts w:ascii="Roboto" w:hAnsi="Roboto"/>
          <w:color w:val="000000"/>
        </w:rPr>
        <w:t>¿Su Gobierno u organización recopila y analiza sistemáticamente datos desagregados sobre mortalidad y morbilidad materna, en consonancia con las recomendaciones contenidas en la actualización de la guía técnica? Sírvase profundizar sobre las buenas prácticas y los desafíos al respecto.</w:t>
      </w:r>
    </w:p>
    <w:p w14:paraId="2A06FDEB" w14:textId="77777777" w:rsidR="004A07FF" w:rsidRDefault="00000000">
      <w:pPr>
        <w:spacing w:before="100" w:after="100"/>
        <w:jc w:val="both"/>
      </w:pPr>
      <w:r>
        <w:rPr>
          <w:rFonts w:ascii="Roboto" w:hAnsi="Roboto"/>
          <w:color w:val="000000"/>
        </w:rPr>
        <w:t>En preparación de las consultas virtuales previstas sobre la implementación de la actualización de la guía técnica, sírvase indicar si su Gobierno u organización estaría interesado en participar activamente, y proporcionar el nombre, el cargo y los datos de contacto de los puntos focales técnicos pertinentes, incluso dentro del Ministerio de Salud u otras instituciones relevantes, según corresponda.</w:t>
      </w:r>
    </w:p>
    <w:p w14:paraId="6947DF4F" w14:textId="77777777" w:rsidR="004A07FF" w:rsidRDefault="00000000">
      <w:pPr>
        <w:spacing w:before="100" w:after="100"/>
        <w:jc w:val="both"/>
      </w:pPr>
      <w:r>
        <w:rPr>
          <w:rFonts w:ascii="Roboto" w:hAnsi="Roboto"/>
          <w:b/>
          <w:bCs/>
          <w:color w:val="000000"/>
        </w:rPr>
        <w:t>Cómo se utilizarán las contribuciones</w:t>
      </w:r>
    </w:p>
    <w:p w14:paraId="054EC9B9" w14:textId="77777777" w:rsidR="004A07FF" w:rsidRDefault="00000000">
      <w:pPr>
        <w:spacing w:before="100" w:after="100"/>
        <w:jc w:val="both"/>
      </w:pPr>
      <w:r>
        <w:rPr>
          <w:rFonts w:ascii="Roboto" w:hAnsi="Roboto"/>
          <w:color w:val="000000"/>
        </w:rPr>
        <w:t>Las contribuciones se pondrán a disposición del público en el sitio web de la OACNUDH, a menos que se solicite expresamente lo contrario.</w:t>
      </w:r>
    </w:p>
    <w:p w14:paraId="3A9D6086" w14:textId="77777777" w:rsidR="004A07FF" w:rsidRDefault="00000000">
      <w:pPr>
        <w:spacing w:before="100" w:after="100"/>
        <w:jc w:val="both"/>
      </w:pPr>
      <w:r>
        <w:rPr>
          <w:rFonts w:ascii="Roboto" w:hAnsi="Roboto"/>
          <w:b/>
          <w:bCs/>
          <w:color w:val="000000"/>
        </w:rPr>
        <w:t>Próximas etapas</w:t>
      </w:r>
    </w:p>
    <w:p w14:paraId="428CD5DD" w14:textId="77777777" w:rsidR="004A07FF" w:rsidRDefault="00000000">
      <w:pPr>
        <w:spacing w:before="100" w:after="100"/>
        <w:jc w:val="both"/>
      </w:pPr>
      <w:r>
        <w:rPr>
          <w:rFonts w:ascii="Roboto" w:hAnsi="Roboto"/>
          <w:color w:val="000000"/>
        </w:rPr>
        <w:t>Las contribuciones/comentarios pueden enviarse por correo electrónico. Deben recibirse antes del 17 de noviembre de 2026, a las 23:00 (hora de Ginebra).</w:t>
      </w:r>
    </w:p>
    <w:p w14:paraId="700A6D95" w14:textId="0FFBA8C1" w:rsidR="004A07FF" w:rsidRDefault="00000000" w:rsidP="00B633C9">
      <w:pPr>
        <w:spacing w:before="100" w:after="100"/>
        <w:jc w:val="both"/>
      </w:pPr>
      <w:r>
        <w:rPr>
          <w:rFonts w:ascii="Roboto" w:hAnsi="Roboto"/>
          <w:b/>
          <w:bCs/>
          <w:color w:val="000000"/>
        </w:rPr>
        <w:t>Dirección de correo electrónico:</w:t>
      </w:r>
      <w:r>
        <w:rPr>
          <w:rFonts w:ascii="Roboto" w:hAnsi="Roboto"/>
          <w:color w:val="000000"/>
        </w:rPr>
        <w:t xml:space="preserve"> </w:t>
      </w:r>
      <w:hyperlink r:id="rId5" w:history="1">
        <w:r w:rsidR="00B633C9">
          <w:rPr>
            <w:rStyle w:val="Hipervnculo"/>
            <w:rFonts w:ascii="Roboto" w:hAnsi="Roboto"/>
          </w:rPr>
          <w:t>ohchr-registry@un.org</w:t>
        </w:r>
      </w:hyperlink>
      <w:r w:rsidR="00B633C9">
        <w:rPr>
          <w:rFonts w:ascii="Roboto" w:hAnsi="Roboto"/>
          <w:color w:val="000000"/>
          <w:sz w:val="27"/>
          <w:szCs w:val="27"/>
          <w:shd w:val="clear" w:color="auto" w:fill="F5F5F1"/>
        </w:rPr>
        <w:t>;</w:t>
      </w:r>
      <w:r w:rsidR="00B633C9">
        <w:rPr>
          <w:rStyle w:val="apple-converted-space"/>
          <w:rFonts w:ascii="Roboto" w:hAnsi="Roboto"/>
          <w:color w:val="000000"/>
          <w:sz w:val="27"/>
          <w:szCs w:val="27"/>
          <w:shd w:val="clear" w:color="auto" w:fill="F5F5F1"/>
        </w:rPr>
        <w:t> </w:t>
      </w:r>
      <w:proofErr w:type="spellStart"/>
      <w:r w:rsidR="00B633C9">
        <w:rPr>
          <w:rStyle w:val="Fuerte"/>
          <w:rFonts w:ascii="Roboto" w:hAnsi="Roboto"/>
          <w:color w:val="000000"/>
        </w:rPr>
        <w:t>Cc</w:t>
      </w:r>
      <w:proofErr w:type="spellEnd"/>
      <w:r w:rsidR="00B633C9">
        <w:rPr>
          <w:rStyle w:val="Fuerte"/>
          <w:rFonts w:ascii="Roboto" w:hAnsi="Roboto"/>
          <w:color w:val="000000"/>
        </w:rPr>
        <w:t>:</w:t>
      </w:r>
      <w:r w:rsidR="00B633C9">
        <w:rPr>
          <w:rStyle w:val="apple-converted-space"/>
          <w:rFonts w:ascii="Roboto" w:hAnsi="Roboto"/>
          <w:color w:val="000000"/>
          <w:sz w:val="27"/>
          <w:szCs w:val="27"/>
          <w:shd w:val="clear" w:color="auto" w:fill="F5F5F1"/>
        </w:rPr>
        <w:t> </w:t>
      </w:r>
      <w:hyperlink r:id="rId6" w:history="1">
        <w:r w:rsidR="00B633C9">
          <w:rPr>
            <w:rStyle w:val="Hipervnculo"/>
            <w:rFonts w:ascii="Roboto" w:hAnsi="Roboto"/>
          </w:rPr>
          <w:t>masiha.ghafory@un.org</w:t>
        </w:r>
      </w:hyperlink>
    </w:p>
    <w:p w14:paraId="5B1AE011" w14:textId="77777777" w:rsidR="004A07FF" w:rsidRDefault="00000000">
      <w:pPr>
        <w:spacing w:before="100" w:after="100"/>
        <w:jc w:val="both"/>
      </w:pPr>
      <w:r>
        <w:rPr>
          <w:rFonts w:ascii="Roboto" w:hAnsi="Roboto"/>
          <w:b/>
          <w:bCs/>
          <w:color w:val="000000"/>
        </w:rPr>
        <w:t>Asunto del correo electrónico:</w:t>
      </w:r>
      <w:r>
        <w:rPr>
          <w:rFonts w:ascii="Roboto" w:hAnsi="Roboto"/>
          <w:color w:val="000000"/>
        </w:rPr>
        <w:t xml:space="preserve"> Aporte a la implementación de la actualización de la guía técnica sobre mortalidad materna prevenible</w:t>
      </w:r>
    </w:p>
    <w:p w14:paraId="3112DE71" w14:textId="77777777" w:rsidR="004A07FF" w:rsidRDefault="00000000">
      <w:pPr>
        <w:spacing w:before="100" w:after="100"/>
        <w:jc w:val="both"/>
      </w:pPr>
      <w:r>
        <w:rPr>
          <w:rFonts w:ascii="Roboto" w:hAnsi="Roboto"/>
          <w:b/>
          <w:bCs/>
          <w:color w:val="000000"/>
        </w:rPr>
        <w:t>Límite de palabras o páginas:</w:t>
      </w:r>
      <w:r>
        <w:rPr>
          <w:rFonts w:ascii="Roboto" w:hAnsi="Roboto"/>
          <w:color w:val="000000"/>
        </w:rPr>
        <w:t xml:space="preserve"> 5000 palabras / 5 páginas</w:t>
      </w:r>
    </w:p>
    <w:p w14:paraId="3BEC6EF7" w14:textId="77777777" w:rsidR="004A07FF" w:rsidRDefault="00000000">
      <w:pPr>
        <w:spacing w:before="100" w:after="100"/>
        <w:jc w:val="both"/>
      </w:pPr>
      <w:r>
        <w:rPr>
          <w:rFonts w:ascii="Roboto" w:hAnsi="Roboto"/>
          <w:b/>
          <w:bCs/>
          <w:color w:val="000000"/>
        </w:rPr>
        <w:t>Formatos de archivo aceptados:</w:t>
      </w:r>
      <w:r>
        <w:rPr>
          <w:rFonts w:ascii="Roboto" w:hAnsi="Roboto"/>
          <w:color w:val="000000"/>
        </w:rPr>
        <w:t xml:space="preserve"> Word</w:t>
      </w:r>
    </w:p>
    <w:p w14:paraId="7869D25E" w14:textId="77777777" w:rsidR="004A07FF" w:rsidRDefault="00000000">
      <w:pPr>
        <w:spacing w:before="100" w:after="100"/>
        <w:jc w:val="both"/>
      </w:pPr>
      <w:r>
        <w:rPr>
          <w:rFonts w:ascii="Roboto" w:hAnsi="Roboto"/>
          <w:b/>
          <w:bCs/>
          <w:color w:val="000000"/>
        </w:rPr>
        <w:t>Idiomas aceptados:</w:t>
      </w:r>
      <w:r>
        <w:rPr>
          <w:rFonts w:ascii="Roboto" w:hAnsi="Roboto"/>
          <w:color w:val="000000"/>
        </w:rPr>
        <w:t xml:space="preserve"> inglés, francés, español</w:t>
      </w:r>
    </w:p>
    <w:p w14:paraId="0EB85BC9" w14:textId="40E3B165" w:rsidR="004A07FF" w:rsidRDefault="004A07FF">
      <w:pPr>
        <w:spacing w:before="100" w:after="100"/>
        <w:jc w:val="both"/>
      </w:pPr>
    </w:p>
    <w:sectPr w:rsidR="004A07FF">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D6D3E18"/>
    <w:multiLevelType w:val="hybridMultilevel"/>
    <w:tmpl w:val="E1D8D586"/>
    <w:lvl w:ilvl="0" w:tplc="23F601F8">
      <w:start w:val="1"/>
      <w:numFmt w:val="bullet"/>
      <w:lvlText w:val="●"/>
      <w:lvlJc w:val="left"/>
      <w:pPr>
        <w:ind w:left="720" w:hanging="360"/>
      </w:pPr>
    </w:lvl>
    <w:lvl w:ilvl="1" w:tplc="DA3EFE76">
      <w:start w:val="1"/>
      <w:numFmt w:val="bullet"/>
      <w:lvlText w:val="○"/>
      <w:lvlJc w:val="left"/>
      <w:pPr>
        <w:ind w:left="1440" w:hanging="360"/>
      </w:pPr>
    </w:lvl>
    <w:lvl w:ilvl="2" w:tplc="B39C184E">
      <w:start w:val="1"/>
      <w:numFmt w:val="bullet"/>
      <w:lvlText w:val="■"/>
      <w:lvlJc w:val="left"/>
      <w:pPr>
        <w:ind w:left="2160" w:hanging="360"/>
      </w:pPr>
    </w:lvl>
    <w:lvl w:ilvl="3" w:tplc="E7346F96">
      <w:start w:val="1"/>
      <w:numFmt w:val="bullet"/>
      <w:lvlText w:val="●"/>
      <w:lvlJc w:val="left"/>
      <w:pPr>
        <w:ind w:left="2880" w:hanging="360"/>
      </w:pPr>
    </w:lvl>
    <w:lvl w:ilvl="4" w:tplc="322C3D24">
      <w:start w:val="1"/>
      <w:numFmt w:val="bullet"/>
      <w:lvlText w:val="○"/>
      <w:lvlJc w:val="left"/>
      <w:pPr>
        <w:ind w:left="3600" w:hanging="360"/>
      </w:pPr>
    </w:lvl>
    <w:lvl w:ilvl="5" w:tplc="1E587CEE">
      <w:start w:val="1"/>
      <w:numFmt w:val="bullet"/>
      <w:lvlText w:val="■"/>
      <w:lvlJc w:val="left"/>
      <w:pPr>
        <w:ind w:left="4320" w:hanging="360"/>
      </w:pPr>
    </w:lvl>
    <w:lvl w:ilvl="6" w:tplc="3D400D36">
      <w:start w:val="1"/>
      <w:numFmt w:val="bullet"/>
      <w:lvlText w:val="●"/>
      <w:lvlJc w:val="left"/>
      <w:pPr>
        <w:ind w:left="5040" w:hanging="360"/>
      </w:pPr>
    </w:lvl>
    <w:lvl w:ilvl="7" w:tplc="54E2F592">
      <w:start w:val="1"/>
      <w:numFmt w:val="bullet"/>
      <w:lvlText w:val="●"/>
      <w:lvlJc w:val="left"/>
      <w:pPr>
        <w:ind w:left="5760" w:hanging="360"/>
      </w:pPr>
    </w:lvl>
    <w:lvl w:ilvl="8" w:tplc="98F8CF68">
      <w:start w:val="1"/>
      <w:numFmt w:val="bullet"/>
      <w:lvlText w:val="●"/>
      <w:lvlJc w:val="left"/>
      <w:pPr>
        <w:ind w:left="6480" w:hanging="360"/>
      </w:pPr>
    </w:lvl>
  </w:abstractNum>
  <w:abstractNum w:abstractNumId="1" w15:restartNumberingAfterBreak="0">
    <w:nsid w:val="69133C3E"/>
    <w:multiLevelType w:val="hybridMultilevel"/>
    <w:tmpl w:val="BA12EEEA"/>
    <w:lvl w:ilvl="0" w:tplc="3F645DD4">
      <w:start w:val="1"/>
      <w:numFmt w:val="bullet"/>
      <w:lvlText w:val="•"/>
      <w:lvlJc w:val="left"/>
      <w:pPr>
        <w:ind w:left="720" w:hanging="360"/>
      </w:pPr>
    </w:lvl>
    <w:lvl w:ilvl="1" w:tplc="1D34C824">
      <w:numFmt w:val="decimal"/>
      <w:lvlText w:val=""/>
      <w:lvlJc w:val="left"/>
    </w:lvl>
    <w:lvl w:ilvl="2" w:tplc="A8122E0C">
      <w:numFmt w:val="decimal"/>
      <w:lvlText w:val=""/>
      <w:lvlJc w:val="left"/>
    </w:lvl>
    <w:lvl w:ilvl="3" w:tplc="0D12E5A0">
      <w:numFmt w:val="decimal"/>
      <w:lvlText w:val=""/>
      <w:lvlJc w:val="left"/>
    </w:lvl>
    <w:lvl w:ilvl="4" w:tplc="E20A3798">
      <w:numFmt w:val="decimal"/>
      <w:lvlText w:val=""/>
      <w:lvlJc w:val="left"/>
    </w:lvl>
    <w:lvl w:ilvl="5" w:tplc="407C39CA">
      <w:numFmt w:val="decimal"/>
      <w:lvlText w:val=""/>
      <w:lvlJc w:val="left"/>
    </w:lvl>
    <w:lvl w:ilvl="6" w:tplc="80A482A6">
      <w:numFmt w:val="decimal"/>
      <w:lvlText w:val=""/>
      <w:lvlJc w:val="left"/>
    </w:lvl>
    <w:lvl w:ilvl="7" w:tplc="931884D2">
      <w:numFmt w:val="decimal"/>
      <w:lvlText w:val=""/>
      <w:lvlJc w:val="left"/>
    </w:lvl>
    <w:lvl w:ilvl="8" w:tplc="DB2012E8">
      <w:numFmt w:val="decimal"/>
      <w:lvlText w:val=""/>
      <w:lvlJc w:val="left"/>
    </w:lvl>
  </w:abstractNum>
  <w:num w:numId="1" w16cid:durableId="886256090">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66"/>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7FF"/>
    <w:rsid w:val="004A07FF"/>
    <w:rsid w:val="005F2A43"/>
    <w:rsid w:val="00B633C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5CEDC79C"/>
  <w15:docId w15:val="{B77195F0-A6E7-604E-8569-D652ADD4E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s-CO"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 w:type="character" w:customStyle="1" w:styleId="apple-converted-space">
    <w:name w:val="apple-converted-space"/>
    <w:basedOn w:val="Fuentedeprrafopredeter"/>
    <w:rsid w:val="00B633C9"/>
  </w:style>
  <w:style w:type="character" w:styleId="Fuerte">
    <w:name w:val="Strong"/>
    <w:basedOn w:val="Fuentedeprrafopredeter"/>
    <w:uiPriority w:val="22"/>
    <w:qFormat/>
    <w:rsid w:val="00B633C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siha.ghafory@un.org" TargetMode="External"/><Relationship Id="rId5" Type="http://schemas.openxmlformats.org/officeDocument/2006/relationships/hyperlink" Target="mailto:ohchr-registry@un.org"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1216</Words>
  <Characters>6446</Characters>
  <Application>Microsoft Office Word</Application>
  <DocSecurity>0</DocSecurity>
  <Lines>78</Lines>
  <Paragraphs>27</Paragraphs>
  <ScaleCrop>false</ScaleCrop>
  <Company/>
  <LinksUpToDate>false</LinksUpToDate>
  <CharactersWithSpaces>7635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Maria Camila Herrera Sosa</cp:lastModifiedBy>
  <cp:revision>2</cp:revision>
  <dcterms:created xsi:type="dcterms:W3CDTF">2026-09-16T19:00:00Z</dcterms:created>
  <dcterms:modified xsi:type="dcterms:W3CDTF">2026-09-16T20:22:00Z</dcterms:modified>
</cp:coreProperties>
</file>